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18635" w14:textId="77777777" w:rsidR="000F4E84" w:rsidRPr="00026032" w:rsidRDefault="00B51D06">
      <w:pPr>
        <w:spacing w:after="0"/>
        <w:ind w:left="2"/>
        <w:rPr>
          <w:rFonts w:ascii="Arial" w:hAnsi="Arial" w:cs="Arial"/>
        </w:rPr>
      </w:pPr>
      <w:r w:rsidRPr="00026032">
        <w:rPr>
          <w:rFonts w:ascii="Arial" w:hAnsi="Arial" w:cs="Arial"/>
          <w:b/>
          <w:color w:val="181717"/>
        </w:rPr>
        <w:t xml:space="preserve">Managed Moves – good practice guidance </w:t>
      </w:r>
    </w:p>
    <w:p w14:paraId="0F967B1F" w14:textId="77777777" w:rsidR="000F4E84" w:rsidRPr="00026032" w:rsidRDefault="00B51D06">
      <w:pPr>
        <w:spacing w:after="0"/>
        <w:ind w:left="2"/>
        <w:rPr>
          <w:rFonts w:ascii="Arial" w:hAnsi="Arial" w:cs="Arial"/>
        </w:rPr>
      </w:pPr>
      <w:r w:rsidRPr="00026032">
        <w:rPr>
          <w:rFonts w:ascii="Arial" w:hAnsi="Arial" w:cs="Arial"/>
          <w:b/>
        </w:rPr>
        <w:t xml:space="preserve"> </w:t>
      </w:r>
      <w:r w:rsidRPr="00026032">
        <w:rPr>
          <w:rFonts w:ascii="Arial" w:hAnsi="Arial" w:cs="Arial"/>
        </w:rPr>
        <w:t xml:space="preserve"> </w:t>
      </w:r>
    </w:p>
    <w:p w14:paraId="1AFDFBE7" w14:textId="77777777" w:rsidR="000F4E84" w:rsidRPr="00026032" w:rsidRDefault="00B51D06">
      <w:pPr>
        <w:pStyle w:val="Heading1"/>
        <w:ind w:left="357"/>
        <w:rPr>
          <w:rFonts w:ascii="Arial" w:hAnsi="Arial" w:cs="Arial"/>
          <w:sz w:val="22"/>
        </w:rPr>
      </w:pPr>
      <w:r w:rsidRPr="00026032">
        <w:rPr>
          <w:rFonts w:ascii="Arial" w:hAnsi="Arial" w:cs="Arial"/>
          <w:sz w:val="22"/>
        </w:rPr>
        <w:t xml:space="preserve">1) Definition of a Managed Move </w:t>
      </w:r>
    </w:p>
    <w:p w14:paraId="1CB583C5" w14:textId="77777777" w:rsidR="000F4E84" w:rsidRPr="00026032" w:rsidRDefault="00B51D06">
      <w:pPr>
        <w:spacing w:after="0"/>
        <w:ind w:left="2"/>
        <w:rPr>
          <w:rFonts w:ascii="Arial" w:hAnsi="Arial" w:cs="Arial"/>
        </w:rPr>
      </w:pPr>
      <w:r w:rsidRPr="00026032">
        <w:rPr>
          <w:rFonts w:ascii="Arial" w:hAnsi="Arial" w:cs="Arial"/>
          <w:b/>
        </w:rPr>
        <w:t xml:space="preserve"> </w:t>
      </w:r>
    </w:p>
    <w:p w14:paraId="7A8CCE8A" w14:textId="77777777" w:rsidR="000F4E84" w:rsidRPr="00026032" w:rsidRDefault="00B51D06">
      <w:pPr>
        <w:spacing w:after="0" w:line="229" w:lineRule="auto"/>
        <w:ind w:left="12" w:hanging="10"/>
        <w:rPr>
          <w:rFonts w:ascii="Arial" w:hAnsi="Arial" w:cs="Arial"/>
        </w:rPr>
      </w:pPr>
      <w:r w:rsidRPr="00026032">
        <w:rPr>
          <w:rFonts w:ascii="Arial" w:hAnsi="Arial" w:cs="Arial"/>
          <w:color w:val="181717"/>
        </w:rPr>
        <w:t xml:space="preserve">A Managed Move is a </w:t>
      </w:r>
      <w:r w:rsidRPr="00026032">
        <w:rPr>
          <w:rFonts w:ascii="Arial" w:hAnsi="Arial" w:cs="Arial"/>
          <w:b/>
          <w:color w:val="181717"/>
        </w:rPr>
        <w:t>voluntary</w:t>
      </w:r>
      <w:r w:rsidRPr="00026032">
        <w:rPr>
          <w:rFonts w:ascii="Arial" w:hAnsi="Arial" w:cs="Arial"/>
          <w:b/>
        </w:rPr>
        <w:t xml:space="preserve"> </w:t>
      </w:r>
      <w:r w:rsidRPr="00026032">
        <w:rPr>
          <w:rFonts w:ascii="Arial" w:hAnsi="Arial" w:cs="Arial"/>
          <w:color w:val="181717"/>
        </w:rPr>
        <w:t xml:space="preserve">agreement between two schools, a </w:t>
      </w:r>
      <w:proofErr w:type="gramStart"/>
      <w:r w:rsidRPr="00026032">
        <w:rPr>
          <w:rFonts w:ascii="Arial" w:hAnsi="Arial" w:cs="Arial"/>
          <w:color w:val="181717"/>
        </w:rPr>
        <w:t>child</w:t>
      </w:r>
      <w:proofErr w:type="gramEnd"/>
      <w:r w:rsidRPr="00026032">
        <w:rPr>
          <w:rFonts w:ascii="Arial" w:hAnsi="Arial" w:cs="Arial"/>
          <w:color w:val="181717"/>
        </w:rPr>
        <w:t xml:space="preserve"> and his/her parents/carers. It allows a child at risk of permanent exclusion to have a trial transfer to another school on a dual registration basis. The move requires the agreement of the child’s parent, the head tea</w:t>
      </w:r>
      <w:r w:rsidRPr="00026032">
        <w:rPr>
          <w:rFonts w:ascii="Arial" w:hAnsi="Arial" w:cs="Arial"/>
          <w:color w:val="181717"/>
        </w:rPr>
        <w:t xml:space="preserve">cher </w:t>
      </w:r>
      <w:proofErr w:type="gramStart"/>
      <w:r w:rsidRPr="00026032">
        <w:rPr>
          <w:rFonts w:ascii="Arial" w:hAnsi="Arial" w:cs="Arial"/>
          <w:color w:val="181717"/>
        </w:rPr>
        <w:t>of</w:t>
      </w:r>
      <w:proofErr w:type="gramEnd"/>
      <w:r w:rsidRPr="00026032">
        <w:rPr>
          <w:rFonts w:ascii="Arial" w:hAnsi="Arial" w:cs="Arial"/>
          <w:color w:val="181717"/>
        </w:rPr>
        <w:t xml:space="preserve"> the child’s current school (the home school) and the head teacher of the receiving school. </w:t>
      </w:r>
      <w:r w:rsidRPr="00026032">
        <w:rPr>
          <w:rFonts w:ascii="Arial" w:hAnsi="Arial" w:cs="Arial"/>
          <w:b/>
        </w:rPr>
        <w:t xml:space="preserve"> </w:t>
      </w:r>
      <w:r w:rsidRPr="00026032">
        <w:rPr>
          <w:rFonts w:ascii="Arial" w:hAnsi="Arial" w:cs="Arial"/>
        </w:rPr>
        <w:t xml:space="preserve"> </w:t>
      </w:r>
    </w:p>
    <w:p w14:paraId="06DC8A42" w14:textId="77777777" w:rsidR="000F4E84" w:rsidRPr="00026032" w:rsidRDefault="00B51D06">
      <w:pPr>
        <w:spacing w:after="0"/>
        <w:ind w:left="2"/>
        <w:rPr>
          <w:rFonts w:ascii="Arial" w:hAnsi="Arial" w:cs="Arial"/>
        </w:rPr>
      </w:pPr>
      <w:r w:rsidRPr="00026032">
        <w:rPr>
          <w:rFonts w:ascii="Arial" w:hAnsi="Arial" w:cs="Arial"/>
        </w:rPr>
        <w:t xml:space="preserve"> </w:t>
      </w:r>
    </w:p>
    <w:p w14:paraId="55B0BED9" w14:textId="77777777" w:rsidR="000F4E84" w:rsidRPr="00026032" w:rsidRDefault="00B51D06">
      <w:pPr>
        <w:pStyle w:val="Heading1"/>
        <w:ind w:left="357"/>
        <w:rPr>
          <w:rFonts w:ascii="Arial" w:hAnsi="Arial" w:cs="Arial"/>
          <w:sz w:val="22"/>
        </w:rPr>
      </w:pPr>
      <w:r w:rsidRPr="00026032">
        <w:rPr>
          <w:rFonts w:ascii="Arial" w:hAnsi="Arial" w:cs="Arial"/>
          <w:sz w:val="22"/>
        </w:rPr>
        <w:t xml:space="preserve">2) Legislation </w:t>
      </w:r>
      <w:r w:rsidRPr="00026032">
        <w:rPr>
          <w:rFonts w:ascii="Arial" w:hAnsi="Arial" w:cs="Arial"/>
          <w:color w:val="000000"/>
          <w:sz w:val="22"/>
        </w:rPr>
        <w:t xml:space="preserve"> </w:t>
      </w:r>
    </w:p>
    <w:p w14:paraId="78965F7F" w14:textId="77777777" w:rsidR="000F4E84" w:rsidRPr="00026032" w:rsidRDefault="00B51D06">
      <w:pPr>
        <w:spacing w:after="0"/>
        <w:ind w:left="2"/>
        <w:rPr>
          <w:rFonts w:ascii="Arial" w:hAnsi="Arial" w:cs="Arial"/>
        </w:rPr>
      </w:pPr>
      <w:r w:rsidRPr="00026032">
        <w:rPr>
          <w:rFonts w:ascii="Arial" w:hAnsi="Arial" w:cs="Arial"/>
        </w:rPr>
        <w:t xml:space="preserve"> </w:t>
      </w:r>
    </w:p>
    <w:p w14:paraId="3BDA9515" w14:textId="77777777" w:rsidR="000F4E84" w:rsidRPr="00026032" w:rsidRDefault="00B51D06">
      <w:pPr>
        <w:spacing w:after="0" w:line="229" w:lineRule="auto"/>
        <w:ind w:left="12" w:hanging="10"/>
        <w:rPr>
          <w:rFonts w:ascii="Arial" w:hAnsi="Arial" w:cs="Arial"/>
        </w:rPr>
      </w:pPr>
      <w:r w:rsidRPr="00026032">
        <w:rPr>
          <w:rFonts w:ascii="Arial" w:hAnsi="Arial" w:cs="Arial"/>
          <w:color w:val="181717"/>
        </w:rPr>
        <w:t>Managed Moves have been accepted by the DfE since 1999, as an acceptable strategy to reduce the risk of the child being permanently e</w:t>
      </w:r>
      <w:r w:rsidRPr="00026032">
        <w:rPr>
          <w:rFonts w:ascii="Arial" w:hAnsi="Arial" w:cs="Arial"/>
          <w:color w:val="181717"/>
        </w:rPr>
        <w:t xml:space="preserve">xcluded.  </w:t>
      </w:r>
    </w:p>
    <w:p w14:paraId="4B96098A" w14:textId="77777777" w:rsidR="000F4E84" w:rsidRPr="00026032" w:rsidRDefault="00B51D06">
      <w:pPr>
        <w:spacing w:after="0"/>
        <w:ind w:left="2"/>
        <w:rPr>
          <w:rFonts w:ascii="Arial" w:hAnsi="Arial" w:cs="Arial"/>
        </w:rPr>
      </w:pPr>
      <w:r w:rsidRPr="00026032">
        <w:rPr>
          <w:rFonts w:ascii="Arial" w:hAnsi="Arial" w:cs="Arial"/>
        </w:rPr>
        <w:t xml:space="preserve"> </w:t>
      </w:r>
    </w:p>
    <w:p w14:paraId="55F8D4D7" w14:textId="77777777" w:rsidR="000F4E84" w:rsidRPr="00026032" w:rsidRDefault="00B51D06">
      <w:pPr>
        <w:spacing w:after="0" w:line="226" w:lineRule="auto"/>
        <w:ind w:left="2" w:right="143"/>
        <w:rPr>
          <w:rFonts w:ascii="Arial" w:hAnsi="Arial" w:cs="Arial"/>
        </w:rPr>
      </w:pPr>
      <w:r w:rsidRPr="00026032">
        <w:rPr>
          <w:rFonts w:ascii="Arial" w:hAnsi="Arial" w:cs="Arial"/>
          <w:color w:val="181717"/>
        </w:rPr>
        <w:t>Current government guidance (Exclusion from maintained schools, academies and pupil referral units in England - Statutory guidance for those with legal responsibilities in relation to exclusion 2017) advises school leaders that</w:t>
      </w:r>
      <w:proofErr w:type="gramStart"/>
      <w:r w:rsidRPr="00026032">
        <w:rPr>
          <w:rFonts w:ascii="Arial" w:hAnsi="Arial" w:cs="Arial"/>
          <w:color w:val="181717"/>
        </w:rPr>
        <w:t xml:space="preserve">:  </w:t>
      </w:r>
      <w:r w:rsidRPr="00026032">
        <w:rPr>
          <w:rFonts w:ascii="Arial" w:hAnsi="Arial" w:cs="Arial"/>
          <w:i/>
          <w:color w:val="181717"/>
        </w:rPr>
        <w:t>‘</w:t>
      </w:r>
      <w:proofErr w:type="gramEnd"/>
      <w:r w:rsidRPr="00026032">
        <w:rPr>
          <w:rFonts w:ascii="Arial" w:hAnsi="Arial" w:cs="Arial"/>
          <w:i/>
          <w:color w:val="181717"/>
        </w:rPr>
        <w:t>A pupil at a</w:t>
      </w:r>
      <w:r w:rsidRPr="00026032">
        <w:rPr>
          <w:rFonts w:ascii="Arial" w:hAnsi="Arial" w:cs="Arial"/>
          <w:i/>
          <w:color w:val="181717"/>
        </w:rPr>
        <w:t>ny type of school can also transfer to another school as part of a ‘managed move’ where this occurs with the consent of the parties involved, including the parents and the admission authority of the school. However, the threat of exclusion must never be us</w:t>
      </w:r>
      <w:r w:rsidRPr="00026032">
        <w:rPr>
          <w:rFonts w:ascii="Arial" w:hAnsi="Arial" w:cs="Arial"/>
          <w:i/>
          <w:color w:val="181717"/>
        </w:rPr>
        <w:t xml:space="preserve">ed to influence parents to remove their child from the school.’ </w:t>
      </w:r>
    </w:p>
    <w:p w14:paraId="460A108D" w14:textId="77777777" w:rsidR="000F4E84" w:rsidRPr="00026032" w:rsidRDefault="00B51D06">
      <w:pPr>
        <w:spacing w:after="0"/>
        <w:ind w:left="2"/>
        <w:rPr>
          <w:rFonts w:ascii="Arial" w:hAnsi="Arial" w:cs="Arial"/>
        </w:rPr>
      </w:pPr>
      <w:r w:rsidRPr="00026032">
        <w:rPr>
          <w:rFonts w:ascii="Arial" w:hAnsi="Arial" w:cs="Arial"/>
          <w:i/>
        </w:rPr>
        <w:t xml:space="preserve"> </w:t>
      </w:r>
      <w:r w:rsidRPr="00026032">
        <w:rPr>
          <w:rFonts w:ascii="Arial" w:hAnsi="Arial" w:cs="Arial"/>
        </w:rPr>
        <w:t xml:space="preserve"> </w:t>
      </w:r>
    </w:p>
    <w:p w14:paraId="0B29BFE7" w14:textId="77777777" w:rsidR="000F4E84" w:rsidRPr="00026032" w:rsidRDefault="00B51D06">
      <w:pPr>
        <w:pStyle w:val="Heading1"/>
        <w:ind w:left="357"/>
        <w:rPr>
          <w:rFonts w:ascii="Arial" w:hAnsi="Arial" w:cs="Arial"/>
          <w:sz w:val="22"/>
        </w:rPr>
      </w:pPr>
      <w:r w:rsidRPr="00026032">
        <w:rPr>
          <w:rFonts w:ascii="Arial" w:hAnsi="Arial" w:cs="Arial"/>
          <w:bCs/>
          <w:sz w:val="22"/>
        </w:rPr>
        <w:t>3)</w:t>
      </w:r>
      <w:r w:rsidRPr="00026032">
        <w:rPr>
          <w:rFonts w:ascii="Arial" w:hAnsi="Arial" w:cs="Arial"/>
          <w:b w:val="0"/>
          <w:color w:val="000000"/>
          <w:sz w:val="22"/>
        </w:rPr>
        <w:t xml:space="preserve"> </w:t>
      </w:r>
      <w:r w:rsidRPr="00026032">
        <w:rPr>
          <w:rFonts w:ascii="Arial" w:hAnsi="Arial" w:cs="Arial"/>
          <w:sz w:val="22"/>
        </w:rPr>
        <w:t xml:space="preserve">Principles </w:t>
      </w:r>
      <w:r w:rsidRPr="00026032">
        <w:rPr>
          <w:rFonts w:ascii="Arial" w:hAnsi="Arial" w:cs="Arial"/>
          <w:b w:val="0"/>
          <w:color w:val="000000"/>
          <w:sz w:val="22"/>
        </w:rPr>
        <w:t xml:space="preserve"> </w:t>
      </w:r>
    </w:p>
    <w:p w14:paraId="5BB3A9C1" w14:textId="77777777" w:rsidR="000F4E84" w:rsidRPr="00026032" w:rsidRDefault="00B51D06">
      <w:pPr>
        <w:spacing w:after="0"/>
        <w:ind w:left="1"/>
        <w:rPr>
          <w:rFonts w:ascii="Arial" w:hAnsi="Arial" w:cs="Arial"/>
        </w:rPr>
      </w:pPr>
      <w:r w:rsidRPr="00026032">
        <w:rPr>
          <w:rFonts w:ascii="Arial" w:hAnsi="Arial" w:cs="Arial"/>
        </w:rPr>
        <w:t xml:space="preserve"> </w:t>
      </w:r>
    </w:p>
    <w:p w14:paraId="16842ABB" w14:textId="77777777" w:rsidR="000F4E84" w:rsidRPr="00026032" w:rsidRDefault="00B51D06">
      <w:pPr>
        <w:spacing w:after="29" w:line="229" w:lineRule="auto"/>
        <w:ind w:left="11" w:hanging="10"/>
        <w:rPr>
          <w:rFonts w:ascii="Arial" w:hAnsi="Arial" w:cs="Arial"/>
        </w:rPr>
      </w:pPr>
      <w:r w:rsidRPr="00026032">
        <w:rPr>
          <w:rFonts w:ascii="Arial" w:hAnsi="Arial" w:cs="Arial"/>
          <w:color w:val="181717"/>
        </w:rPr>
        <w:t xml:space="preserve">The following principles should underpin all requests for Managed Moves: </w:t>
      </w:r>
      <w:r w:rsidRPr="00026032">
        <w:rPr>
          <w:rFonts w:ascii="Arial" w:hAnsi="Arial" w:cs="Arial"/>
        </w:rPr>
        <w:t xml:space="preserve"> </w:t>
      </w:r>
    </w:p>
    <w:p w14:paraId="676804B3" w14:textId="77777777" w:rsidR="000F4E84" w:rsidRPr="00026032" w:rsidRDefault="00B51D06">
      <w:pPr>
        <w:spacing w:after="0"/>
        <w:ind w:left="1"/>
        <w:rPr>
          <w:rFonts w:ascii="Arial" w:hAnsi="Arial" w:cs="Arial"/>
        </w:rPr>
      </w:pPr>
      <w:r w:rsidRPr="00026032">
        <w:rPr>
          <w:rFonts w:ascii="Arial" w:hAnsi="Arial" w:cs="Arial"/>
        </w:rPr>
        <w:t xml:space="preserve"> </w:t>
      </w:r>
    </w:p>
    <w:p w14:paraId="1C892CC8" w14:textId="77777777" w:rsidR="000F4E84" w:rsidRPr="00026032" w:rsidRDefault="00B51D06">
      <w:pPr>
        <w:numPr>
          <w:ilvl w:val="0"/>
          <w:numId w:val="1"/>
        </w:numPr>
        <w:spacing w:after="70" w:line="229" w:lineRule="auto"/>
        <w:ind w:hanging="360"/>
        <w:rPr>
          <w:rFonts w:ascii="Arial" w:hAnsi="Arial" w:cs="Arial"/>
        </w:rPr>
      </w:pPr>
      <w:r w:rsidRPr="00026032">
        <w:rPr>
          <w:rFonts w:ascii="Arial" w:hAnsi="Arial" w:cs="Arial"/>
          <w:color w:val="181717"/>
        </w:rPr>
        <w:t xml:space="preserve">Request should be initiated by the child’s current (home) school.  </w:t>
      </w:r>
    </w:p>
    <w:p w14:paraId="5587C1C2" w14:textId="77777777" w:rsidR="000F4E84" w:rsidRPr="00026032" w:rsidRDefault="00B51D06">
      <w:pPr>
        <w:numPr>
          <w:ilvl w:val="0"/>
          <w:numId w:val="1"/>
        </w:numPr>
        <w:spacing w:after="70" w:line="229" w:lineRule="auto"/>
        <w:ind w:hanging="360"/>
        <w:rPr>
          <w:rFonts w:ascii="Arial" w:hAnsi="Arial" w:cs="Arial"/>
        </w:rPr>
      </w:pPr>
      <w:r w:rsidRPr="00026032">
        <w:rPr>
          <w:rFonts w:ascii="Arial" w:hAnsi="Arial" w:cs="Arial"/>
          <w:color w:val="181717"/>
        </w:rPr>
        <w:t xml:space="preserve">Full agreement of parents is obtained. The views of the pupil to undertake a transfer to another school voluntarily must also be considered.  </w:t>
      </w:r>
    </w:p>
    <w:p w14:paraId="542105CB" w14:textId="77777777" w:rsidR="000F4E84" w:rsidRPr="00026032" w:rsidRDefault="00B51D06">
      <w:pPr>
        <w:numPr>
          <w:ilvl w:val="0"/>
          <w:numId w:val="1"/>
        </w:numPr>
        <w:spacing w:after="70" w:line="229" w:lineRule="auto"/>
        <w:ind w:hanging="360"/>
        <w:rPr>
          <w:rFonts w:ascii="Arial" w:hAnsi="Arial" w:cs="Arial"/>
        </w:rPr>
      </w:pPr>
      <w:r w:rsidRPr="00026032">
        <w:rPr>
          <w:rFonts w:ascii="Arial" w:hAnsi="Arial" w:cs="Arial"/>
          <w:color w:val="181717"/>
        </w:rPr>
        <w:t>Schools should be mindful of the principles o</w:t>
      </w:r>
      <w:r w:rsidRPr="00026032">
        <w:rPr>
          <w:rFonts w:ascii="Arial" w:hAnsi="Arial" w:cs="Arial"/>
          <w:color w:val="181717"/>
        </w:rPr>
        <w:t xml:space="preserve">f inclusion, </w:t>
      </w:r>
      <w:proofErr w:type="gramStart"/>
      <w:r w:rsidRPr="00026032">
        <w:rPr>
          <w:rFonts w:ascii="Arial" w:hAnsi="Arial" w:cs="Arial"/>
          <w:color w:val="181717"/>
        </w:rPr>
        <w:t>partnership</w:t>
      </w:r>
      <w:proofErr w:type="gramEnd"/>
      <w:r w:rsidRPr="00026032">
        <w:rPr>
          <w:rFonts w:ascii="Arial" w:hAnsi="Arial" w:cs="Arial"/>
          <w:color w:val="181717"/>
        </w:rPr>
        <w:t xml:space="preserve"> and collaboration </w:t>
      </w:r>
    </w:p>
    <w:p w14:paraId="11E8202E" w14:textId="77777777" w:rsidR="000F4E84" w:rsidRPr="00026032" w:rsidRDefault="00B51D06">
      <w:pPr>
        <w:numPr>
          <w:ilvl w:val="0"/>
          <w:numId w:val="1"/>
        </w:numPr>
        <w:spacing w:after="70" w:line="229" w:lineRule="auto"/>
        <w:ind w:hanging="360"/>
        <w:rPr>
          <w:rFonts w:ascii="Arial" w:hAnsi="Arial" w:cs="Arial"/>
        </w:rPr>
      </w:pPr>
      <w:r w:rsidRPr="00026032">
        <w:rPr>
          <w:rFonts w:ascii="Arial" w:hAnsi="Arial" w:cs="Arial"/>
          <w:color w:val="181717"/>
        </w:rPr>
        <w:t xml:space="preserve">trial period lasts no longer than 12 weeks. </w:t>
      </w:r>
    </w:p>
    <w:p w14:paraId="1127399D" w14:textId="77777777" w:rsidR="000F4E84" w:rsidRPr="00026032" w:rsidRDefault="00B51D06">
      <w:pPr>
        <w:numPr>
          <w:ilvl w:val="0"/>
          <w:numId w:val="1"/>
        </w:numPr>
        <w:spacing w:after="70" w:line="229" w:lineRule="auto"/>
        <w:ind w:hanging="360"/>
        <w:rPr>
          <w:rFonts w:ascii="Arial" w:hAnsi="Arial" w:cs="Arial"/>
        </w:rPr>
      </w:pPr>
      <w:r w:rsidRPr="00026032">
        <w:rPr>
          <w:rFonts w:ascii="Arial" w:hAnsi="Arial" w:cs="Arial"/>
          <w:color w:val="181717"/>
        </w:rPr>
        <w:t xml:space="preserve">Regular reviews and progress reports </w:t>
      </w:r>
      <w:r w:rsidRPr="00026032">
        <w:rPr>
          <w:rFonts w:ascii="Arial" w:hAnsi="Arial" w:cs="Arial"/>
          <w:b/>
          <w:color w:val="181717"/>
        </w:rPr>
        <w:t xml:space="preserve">must </w:t>
      </w:r>
      <w:r w:rsidRPr="00026032">
        <w:rPr>
          <w:rFonts w:ascii="Arial" w:hAnsi="Arial" w:cs="Arial"/>
          <w:color w:val="181717"/>
        </w:rPr>
        <w:t xml:space="preserve">be undertaken.  </w:t>
      </w:r>
    </w:p>
    <w:p w14:paraId="28D9F8A7" w14:textId="77777777" w:rsidR="000F4E84" w:rsidRPr="00026032" w:rsidRDefault="00B51D06">
      <w:pPr>
        <w:numPr>
          <w:ilvl w:val="0"/>
          <w:numId w:val="1"/>
        </w:numPr>
        <w:spacing w:after="70" w:line="229" w:lineRule="auto"/>
        <w:ind w:hanging="360"/>
        <w:rPr>
          <w:rFonts w:ascii="Arial" w:hAnsi="Arial" w:cs="Arial"/>
        </w:rPr>
      </w:pPr>
      <w:r w:rsidRPr="00026032">
        <w:rPr>
          <w:rFonts w:ascii="Arial" w:hAnsi="Arial" w:cs="Arial"/>
          <w:color w:val="181717"/>
        </w:rPr>
        <w:t xml:space="preserve">Any suggested managed move for a Looked After Child should only take place the agreement and support of the Virtual School  </w:t>
      </w:r>
    </w:p>
    <w:p w14:paraId="4D24F67C" w14:textId="0B299182" w:rsidR="000F4E84" w:rsidRPr="00026032" w:rsidRDefault="00B51D06">
      <w:pPr>
        <w:numPr>
          <w:ilvl w:val="0"/>
          <w:numId w:val="1"/>
        </w:numPr>
        <w:spacing w:after="33" w:line="229" w:lineRule="auto"/>
        <w:ind w:hanging="360"/>
        <w:rPr>
          <w:rFonts w:ascii="Arial" w:hAnsi="Arial" w:cs="Arial"/>
        </w:rPr>
      </w:pPr>
      <w:r w:rsidRPr="00026032">
        <w:rPr>
          <w:rFonts w:ascii="Arial" w:hAnsi="Arial" w:cs="Arial"/>
          <w:color w:val="181717"/>
        </w:rPr>
        <w:t xml:space="preserve">Managed moves must </w:t>
      </w:r>
      <w:r w:rsidRPr="00026032">
        <w:rPr>
          <w:rFonts w:ascii="Arial" w:hAnsi="Arial" w:cs="Arial"/>
          <w:b/>
          <w:i/>
          <w:color w:val="181717"/>
        </w:rPr>
        <w:t>not</w:t>
      </w:r>
      <w:r w:rsidRPr="00026032">
        <w:rPr>
          <w:rFonts w:ascii="Arial" w:hAnsi="Arial" w:cs="Arial"/>
          <w:color w:val="181717"/>
        </w:rPr>
        <w:t xml:space="preserve"> be sought for children with an Education Health and Care Plan; any consideration for a change in placement f</w:t>
      </w:r>
      <w:r w:rsidRPr="00026032">
        <w:rPr>
          <w:rFonts w:ascii="Arial" w:hAnsi="Arial" w:cs="Arial"/>
          <w:color w:val="181717"/>
        </w:rPr>
        <w:t xml:space="preserve">or and EHCP child should be directed to key workers in SEND for processing through the correct channels  </w:t>
      </w:r>
    </w:p>
    <w:p w14:paraId="54BFDA34" w14:textId="5F22DCA6" w:rsidR="0007596F" w:rsidRPr="00026032" w:rsidRDefault="0007596F" w:rsidP="0007596F">
      <w:pPr>
        <w:spacing w:after="33" w:line="229" w:lineRule="auto"/>
        <w:rPr>
          <w:rFonts w:ascii="Arial" w:hAnsi="Arial" w:cs="Arial"/>
          <w:color w:val="181717"/>
        </w:rPr>
      </w:pPr>
    </w:p>
    <w:p w14:paraId="5777AB63" w14:textId="77777777" w:rsidR="0007596F" w:rsidRPr="00026032" w:rsidRDefault="0007596F" w:rsidP="0007596F">
      <w:pPr>
        <w:spacing w:after="33" w:line="229" w:lineRule="auto"/>
        <w:rPr>
          <w:rFonts w:ascii="Arial" w:hAnsi="Arial" w:cs="Arial"/>
        </w:rPr>
      </w:pPr>
    </w:p>
    <w:p w14:paraId="1E10C865" w14:textId="77777777" w:rsidR="000F4E84" w:rsidRPr="00026032" w:rsidRDefault="00B51D06">
      <w:pPr>
        <w:spacing w:after="0"/>
        <w:rPr>
          <w:rFonts w:ascii="Arial" w:hAnsi="Arial" w:cs="Arial"/>
        </w:rPr>
      </w:pPr>
      <w:r w:rsidRPr="00026032">
        <w:rPr>
          <w:rFonts w:ascii="Arial" w:hAnsi="Arial" w:cs="Arial"/>
        </w:rPr>
        <w:t xml:space="preserve"> </w:t>
      </w:r>
    </w:p>
    <w:p w14:paraId="04E479E6" w14:textId="77777777" w:rsidR="000F4E84" w:rsidRPr="00026032" w:rsidRDefault="00B51D06">
      <w:pPr>
        <w:pStyle w:val="Heading1"/>
        <w:ind w:left="357"/>
        <w:rPr>
          <w:rFonts w:ascii="Arial" w:hAnsi="Arial" w:cs="Arial"/>
          <w:sz w:val="22"/>
        </w:rPr>
      </w:pPr>
      <w:r w:rsidRPr="00026032">
        <w:rPr>
          <w:rFonts w:ascii="Arial" w:hAnsi="Arial" w:cs="Arial"/>
          <w:sz w:val="22"/>
        </w:rPr>
        <w:t xml:space="preserve">4) Criteria </w:t>
      </w:r>
    </w:p>
    <w:p w14:paraId="4C2530AA" w14:textId="77777777" w:rsidR="000F4E84" w:rsidRPr="00026032" w:rsidRDefault="00B51D06">
      <w:pPr>
        <w:spacing w:after="0"/>
        <w:rPr>
          <w:rFonts w:ascii="Arial" w:hAnsi="Arial" w:cs="Arial"/>
        </w:rPr>
      </w:pPr>
      <w:r w:rsidRPr="00026032">
        <w:rPr>
          <w:rFonts w:ascii="Arial" w:hAnsi="Arial" w:cs="Arial"/>
          <w:b/>
        </w:rPr>
        <w:t xml:space="preserve"> </w:t>
      </w:r>
      <w:r w:rsidRPr="00026032">
        <w:rPr>
          <w:rFonts w:ascii="Arial" w:hAnsi="Arial" w:cs="Arial"/>
        </w:rPr>
        <w:t xml:space="preserve"> </w:t>
      </w:r>
    </w:p>
    <w:p w14:paraId="49C8C7DE" w14:textId="77777777" w:rsidR="000F4E84" w:rsidRPr="00026032" w:rsidRDefault="00B51D06">
      <w:pPr>
        <w:spacing w:after="0" w:line="229" w:lineRule="auto"/>
        <w:ind w:left="10" w:hanging="10"/>
        <w:rPr>
          <w:rFonts w:ascii="Arial" w:hAnsi="Arial" w:cs="Arial"/>
        </w:rPr>
      </w:pPr>
      <w:r w:rsidRPr="00026032">
        <w:rPr>
          <w:rFonts w:ascii="Arial" w:hAnsi="Arial" w:cs="Arial"/>
          <w:color w:val="181717"/>
        </w:rPr>
        <w:t>A Managed Move should never be an early or first response when a child is struggling at school because of their behaviour. It should</w:t>
      </w:r>
      <w:r w:rsidRPr="00026032">
        <w:rPr>
          <w:rFonts w:ascii="Arial" w:hAnsi="Arial" w:cs="Arial"/>
          <w:color w:val="181717"/>
        </w:rPr>
        <w:t xml:space="preserve"> be considered as part of a measured response to supporting the child’s emotional social and behavioural needs, where there is </w:t>
      </w:r>
      <w:proofErr w:type="gramStart"/>
      <w:r w:rsidRPr="00026032">
        <w:rPr>
          <w:rFonts w:ascii="Arial" w:hAnsi="Arial" w:cs="Arial"/>
          <w:color w:val="181717"/>
        </w:rPr>
        <w:t>little</w:t>
      </w:r>
      <w:proofErr w:type="gramEnd"/>
      <w:r w:rsidRPr="00026032">
        <w:rPr>
          <w:rFonts w:ascii="Arial" w:hAnsi="Arial" w:cs="Arial"/>
          <w:color w:val="181717"/>
        </w:rPr>
        <w:t xml:space="preserve"> or no evidence of other strategies having been successful.  </w:t>
      </w:r>
    </w:p>
    <w:p w14:paraId="36A86EE2" w14:textId="77777777" w:rsidR="000F4E84" w:rsidRPr="00026032" w:rsidRDefault="00B51D06">
      <w:pPr>
        <w:spacing w:after="0"/>
        <w:rPr>
          <w:rFonts w:ascii="Arial" w:hAnsi="Arial" w:cs="Arial"/>
        </w:rPr>
      </w:pPr>
      <w:r w:rsidRPr="00026032">
        <w:rPr>
          <w:rFonts w:ascii="Arial" w:hAnsi="Arial" w:cs="Arial"/>
        </w:rPr>
        <w:t xml:space="preserve"> </w:t>
      </w:r>
    </w:p>
    <w:p w14:paraId="76B2A8C4" w14:textId="77777777" w:rsidR="000F4E84" w:rsidRPr="00026032" w:rsidRDefault="00B51D06">
      <w:pPr>
        <w:spacing w:after="3" w:line="229" w:lineRule="auto"/>
        <w:ind w:left="-3" w:hanging="10"/>
        <w:rPr>
          <w:rFonts w:ascii="Arial" w:hAnsi="Arial" w:cs="Arial"/>
        </w:rPr>
      </w:pPr>
      <w:r w:rsidRPr="00026032">
        <w:rPr>
          <w:rFonts w:ascii="Arial" w:hAnsi="Arial" w:cs="Arial"/>
          <w:color w:val="181717"/>
        </w:rPr>
        <w:lastRenderedPageBreak/>
        <w:t>A Managed Move can be considered prior to a permanent exclu</w:t>
      </w:r>
      <w:r w:rsidRPr="00026032">
        <w:rPr>
          <w:rFonts w:ascii="Arial" w:hAnsi="Arial" w:cs="Arial"/>
          <w:color w:val="181717"/>
        </w:rPr>
        <w:t>sion being implemented (unless there is a major breach of school behaviour policy). The home school should be able to demonstrate that other preventative strategies have been exhausted. The school’s own internal procedures will have already been implemente</w:t>
      </w:r>
      <w:r w:rsidRPr="00026032">
        <w:rPr>
          <w:rFonts w:ascii="Arial" w:hAnsi="Arial" w:cs="Arial"/>
          <w:color w:val="181717"/>
        </w:rPr>
        <w:t>d, along with all strategies</w:t>
      </w:r>
      <w:r w:rsidRPr="00026032">
        <w:rPr>
          <w:rFonts w:ascii="Arial" w:hAnsi="Arial" w:cs="Arial"/>
        </w:rPr>
        <w:t xml:space="preserve"> </w:t>
      </w:r>
      <w:r w:rsidRPr="00026032">
        <w:rPr>
          <w:rFonts w:ascii="Arial" w:hAnsi="Arial" w:cs="Arial"/>
          <w:color w:val="181717"/>
        </w:rPr>
        <w:t xml:space="preserve">to avoid exclusion and address poor behaviour.  </w:t>
      </w:r>
    </w:p>
    <w:p w14:paraId="3F017126" w14:textId="77777777" w:rsidR="000F4E84" w:rsidRPr="00026032" w:rsidRDefault="00B51D06">
      <w:pPr>
        <w:spacing w:after="0"/>
        <w:ind w:left="3"/>
        <w:rPr>
          <w:rFonts w:ascii="Arial" w:hAnsi="Arial" w:cs="Arial"/>
        </w:rPr>
      </w:pPr>
      <w:r w:rsidRPr="00026032">
        <w:rPr>
          <w:rFonts w:ascii="Arial" w:hAnsi="Arial" w:cs="Arial"/>
        </w:rPr>
        <w:t xml:space="preserve"> </w:t>
      </w:r>
    </w:p>
    <w:p w14:paraId="355E81B7" w14:textId="77777777" w:rsidR="000F4E84" w:rsidRPr="00026032" w:rsidRDefault="00B51D06">
      <w:pPr>
        <w:numPr>
          <w:ilvl w:val="0"/>
          <w:numId w:val="2"/>
        </w:numPr>
        <w:spacing w:after="0"/>
        <w:ind w:hanging="361"/>
        <w:rPr>
          <w:rFonts w:ascii="Arial" w:hAnsi="Arial" w:cs="Arial"/>
        </w:rPr>
      </w:pPr>
      <w:r w:rsidRPr="00026032">
        <w:rPr>
          <w:rFonts w:ascii="Arial" w:hAnsi="Arial" w:cs="Arial"/>
          <w:b/>
          <w:color w:val="181717"/>
        </w:rPr>
        <w:t xml:space="preserve">When a Managed Move would NOT be appropriate if: </w:t>
      </w:r>
      <w:r w:rsidRPr="00026032">
        <w:rPr>
          <w:rFonts w:ascii="Arial" w:hAnsi="Arial" w:cs="Arial"/>
          <w:b/>
        </w:rPr>
        <w:t xml:space="preserve"> </w:t>
      </w:r>
    </w:p>
    <w:p w14:paraId="05A32B31" w14:textId="77777777" w:rsidR="000F4E84" w:rsidRPr="00026032" w:rsidRDefault="00B51D06">
      <w:pPr>
        <w:spacing w:after="0"/>
        <w:ind w:left="2"/>
        <w:rPr>
          <w:rFonts w:ascii="Arial" w:hAnsi="Arial" w:cs="Arial"/>
        </w:rPr>
      </w:pPr>
      <w:r w:rsidRPr="00026032">
        <w:rPr>
          <w:rFonts w:ascii="Arial" w:hAnsi="Arial" w:cs="Arial"/>
        </w:rPr>
        <w:t xml:space="preserve"> </w:t>
      </w:r>
    </w:p>
    <w:p w14:paraId="5FBCA4E1" w14:textId="77777777" w:rsidR="000F4E84" w:rsidRPr="00026032" w:rsidRDefault="00B51D06">
      <w:pPr>
        <w:numPr>
          <w:ilvl w:val="0"/>
          <w:numId w:val="4"/>
        </w:numPr>
        <w:spacing w:after="65" w:line="229" w:lineRule="auto"/>
        <w:ind w:hanging="360"/>
        <w:rPr>
          <w:rFonts w:ascii="Arial" w:hAnsi="Arial" w:cs="Arial"/>
        </w:rPr>
      </w:pPr>
      <w:r w:rsidRPr="00026032">
        <w:rPr>
          <w:rFonts w:ascii="Arial" w:hAnsi="Arial" w:cs="Arial"/>
          <w:color w:val="181717"/>
        </w:rPr>
        <w:t xml:space="preserve">A parent is seeking a straightforward transfer to another school  </w:t>
      </w:r>
    </w:p>
    <w:p w14:paraId="630E40C6" w14:textId="77777777" w:rsidR="000F4E84" w:rsidRPr="00026032" w:rsidRDefault="00B51D06">
      <w:pPr>
        <w:numPr>
          <w:ilvl w:val="0"/>
          <w:numId w:val="4"/>
        </w:numPr>
        <w:spacing w:after="29" w:line="229" w:lineRule="auto"/>
        <w:ind w:hanging="360"/>
        <w:rPr>
          <w:rFonts w:ascii="Arial" w:hAnsi="Arial" w:cs="Arial"/>
        </w:rPr>
      </w:pPr>
      <w:r w:rsidRPr="00026032">
        <w:rPr>
          <w:rFonts w:ascii="Arial" w:hAnsi="Arial" w:cs="Arial"/>
          <w:color w:val="181717"/>
        </w:rPr>
        <w:t>The child would be unable to return to the home school i</w:t>
      </w:r>
      <w:r w:rsidRPr="00026032">
        <w:rPr>
          <w:rFonts w:ascii="Arial" w:hAnsi="Arial" w:cs="Arial"/>
          <w:color w:val="181717"/>
        </w:rPr>
        <w:t xml:space="preserve">f the managed move placement is unsuccessful  </w:t>
      </w:r>
    </w:p>
    <w:p w14:paraId="34D7E17E" w14:textId="77777777" w:rsidR="000F4E84" w:rsidRPr="00026032" w:rsidRDefault="00B51D06">
      <w:pPr>
        <w:spacing w:after="0"/>
        <w:ind w:left="2"/>
        <w:rPr>
          <w:rFonts w:ascii="Arial" w:hAnsi="Arial" w:cs="Arial"/>
        </w:rPr>
      </w:pPr>
      <w:r w:rsidRPr="00026032">
        <w:rPr>
          <w:rFonts w:ascii="Arial" w:hAnsi="Arial" w:cs="Arial"/>
        </w:rPr>
        <w:t xml:space="preserve"> </w:t>
      </w:r>
    </w:p>
    <w:p w14:paraId="58F27863" w14:textId="77777777" w:rsidR="000F4E84" w:rsidRPr="00026032" w:rsidRDefault="00B51D06">
      <w:pPr>
        <w:spacing w:after="3" w:line="229" w:lineRule="auto"/>
        <w:ind w:left="-3" w:hanging="10"/>
        <w:rPr>
          <w:rFonts w:ascii="Arial" w:hAnsi="Arial" w:cs="Arial"/>
        </w:rPr>
      </w:pPr>
      <w:r w:rsidRPr="00026032">
        <w:rPr>
          <w:rFonts w:ascii="Arial" w:hAnsi="Arial" w:cs="Arial"/>
          <w:color w:val="181717"/>
        </w:rPr>
        <w:t>The school and family need to share the view that the receiving school is likely to be able to offer something sufficiently different to make the Managed Move</w:t>
      </w:r>
      <w:r w:rsidRPr="00026032">
        <w:rPr>
          <w:rFonts w:ascii="Arial" w:hAnsi="Arial" w:cs="Arial"/>
        </w:rPr>
        <w:t xml:space="preserve"> </w:t>
      </w:r>
      <w:r w:rsidRPr="00026032">
        <w:rPr>
          <w:rFonts w:ascii="Arial" w:hAnsi="Arial" w:cs="Arial"/>
          <w:color w:val="181717"/>
        </w:rPr>
        <w:t xml:space="preserve">viable. This may be the size/location of the school, a new peer group/teaching team, differentiated curriculum, levels of expertise and support, depending on the presenting issues at the home school.  </w:t>
      </w:r>
    </w:p>
    <w:p w14:paraId="69015118" w14:textId="77777777" w:rsidR="000F4E84" w:rsidRPr="00026032" w:rsidRDefault="00B51D06">
      <w:pPr>
        <w:spacing w:after="0"/>
        <w:ind w:left="2"/>
        <w:rPr>
          <w:rFonts w:ascii="Arial" w:hAnsi="Arial" w:cs="Arial"/>
        </w:rPr>
      </w:pPr>
      <w:r w:rsidRPr="00026032">
        <w:rPr>
          <w:rFonts w:ascii="Arial" w:hAnsi="Arial" w:cs="Arial"/>
        </w:rPr>
        <w:t xml:space="preserve"> </w:t>
      </w:r>
    </w:p>
    <w:p w14:paraId="7290EB78" w14:textId="37075943" w:rsidR="000F4E84" w:rsidRPr="00026032" w:rsidRDefault="00B51D06">
      <w:pPr>
        <w:numPr>
          <w:ilvl w:val="0"/>
          <w:numId w:val="2"/>
        </w:numPr>
        <w:spacing w:after="0"/>
        <w:ind w:hanging="361"/>
        <w:rPr>
          <w:rFonts w:ascii="Arial" w:hAnsi="Arial" w:cs="Arial"/>
        </w:rPr>
      </w:pPr>
      <w:r w:rsidRPr="00026032">
        <w:rPr>
          <w:rFonts w:ascii="Arial" w:hAnsi="Arial" w:cs="Arial"/>
          <w:b/>
          <w:color w:val="181717"/>
        </w:rPr>
        <w:t xml:space="preserve">Managed moves to </w:t>
      </w:r>
      <w:r w:rsidR="001023A4" w:rsidRPr="00026032">
        <w:rPr>
          <w:rFonts w:ascii="Arial" w:hAnsi="Arial" w:cs="Arial"/>
          <w:b/>
          <w:color w:val="181717"/>
        </w:rPr>
        <w:t>Ormiston Academies Trust (OAT)</w:t>
      </w:r>
    </w:p>
    <w:p w14:paraId="3CA64E0F" w14:textId="77777777" w:rsidR="000F4E84" w:rsidRPr="00026032" w:rsidRDefault="00B51D06">
      <w:pPr>
        <w:spacing w:after="0"/>
        <w:ind w:left="2"/>
        <w:rPr>
          <w:rFonts w:ascii="Arial" w:hAnsi="Arial" w:cs="Arial"/>
        </w:rPr>
      </w:pPr>
      <w:r w:rsidRPr="00026032">
        <w:rPr>
          <w:rFonts w:ascii="Arial" w:hAnsi="Arial" w:cs="Arial"/>
          <w:b/>
        </w:rPr>
        <w:t xml:space="preserve"> </w:t>
      </w:r>
    </w:p>
    <w:p w14:paraId="530D6BD7" w14:textId="77777777" w:rsidR="000F4E84" w:rsidRPr="00026032" w:rsidRDefault="00B51D06" w:rsidP="001023A4">
      <w:pPr>
        <w:pStyle w:val="ListParagraph"/>
        <w:numPr>
          <w:ilvl w:val="0"/>
          <w:numId w:val="9"/>
        </w:numPr>
        <w:spacing w:after="240" w:line="226" w:lineRule="auto"/>
        <w:rPr>
          <w:rFonts w:ascii="Arial" w:hAnsi="Arial" w:cs="Arial"/>
        </w:rPr>
      </w:pPr>
      <w:r w:rsidRPr="00026032">
        <w:rPr>
          <w:rFonts w:ascii="Arial" w:hAnsi="Arial" w:cs="Arial"/>
          <w:color w:val="181717"/>
        </w:rPr>
        <w:t>The Local Authority is comm</w:t>
      </w:r>
      <w:r w:rsidRPr="00026032">
        <w:rPr>
          <w:rFonts w:ascii="Arial" w:hAnsi="Arial" w:cs="Arial"/>
          <w:color w:val="181717"/>
        </w:rPr>
        <w:t>itted to supporting schools to maximise</w:t>
      </w:r>
      <w:r w:rsidRPr="00026032">
        <w:rPr>
          <w:rFonts w:ascii="Arial" w:hAnsi="Arial" w:cs="Arial"/>
        </w:rPr>
        <w:t xml:space="preserve"> </w:t>
      </w:r>
      <w:r w:rsidRPr="00026032">
        <w:rPr>
          <w:rFonts w:ascii="Arial" w:hAnsi="Arial" w:cs="Arial"/>
          <w:color w:val="181717"/>
        </w:rPr>
        <w:t xml:space="preserve">continued inclusion in mainstream school for </w:t>
      </w:r>
      <w:r w:rsidRPr="00026032">
        <w:rPr>
          <w:rFonts w:ascii="Arial" w:hAnsi="Arial" w:cs="Arial"/>
          <w:b/>
          <w:color w:val="181717"/>
        </w:rPr>
        <w:t>all</w:t>
      </w:r>
      <w:r w:rsidRPr="00026032">
        <w:rPr>
          <w:rFonts w:ascii="Arial" w:hAnsi="Arial" w:cs="Arial"/>
          <w:color w:val="181717"/>
        </w:rPr>
        <w:t xml:space="preserve"> children wherever possible. However, if a child has unequivocally reached the threshold for a permanent exclusion, this process should be used in the normal way, adher</w:t>
      </w:r>
      <w:r w:rsidRPr="00026032">
        <w:rPr>
          <w:rFonts w:ascii="Arial" w:hAnsi="Arial" w:cs="Arial"/>
          <w:color w:val="181717"/>
        </w:rPr>
        <w:t xml:space="preserve">ing to relevant DfE </w:t>
      </w:r>
      <w:proofErr w:type="gramStart"/>
      <w:r w:rsidRPr="00026032">
        <w:rPr>
          <w:rFonts w:ascii="Arial" w:hAnsi="Arial" w:cs="Arial"/>
          <w:color w:val="181717"/>
        </w:rPr>
        <w:t>guidance</w:t>
      </w:r>
      <w:proofErr w:type="gramEnd"/>
      <w:r w:rsidRPr="00026032">
        <w:rPr>
          <w:rFonts w:ascii="Arial" w:hAnsi="Arial" w:cs="Arial"/>
          <w:color w:val="181717"/>
        </w:rPr>
        <w:t xml:space="preserve"> and agreed Local Authority process. </w:t>
      </w:r>
      <w:r w:rsidRPr="00026032">
        <w:rPr>
          <w:rFonts w:ascii="Arial" w:hAnsi="Arial" w:cs="Arial"/>
          <w:b/>
        </w:rPr>
        <w:t xml:space="preserve"> </w:t>
      </w:r>
    </w:p>
    <w:p w14:paraId="44EF0181" w14:textId="7CBCBF9C" w:rsidR="000F4E84" w:rsidRPr="00026032" w:rsidRDefault="00B51D06" w:rsidP="001023A4">
      <w:pPr>
        <w:pStyle w:val="ListParagraph"/>
        <w:numPr>
          <w:ilvl w:val="0"/>
          <w:numId w:val="9"/>
        </w:numPr>
        <w:spacing w:after="3" w:line="229" w:lineRule="auto"/>
        <w:rPr>
          <w:rFonts w:ascii="Arial" w:hAnsi="Arial" w:cs="Arial"/>
        </w:rPr>
      </w:pPr>
      <w:r w:rsidRPr="00026032">
        <w:rPr>
          <w:rFonts w:ascii="Arial" w:hAnsi="Arial" w:cs="Arial"/>
          <w:color w:val="181717"/>
        </w:rPr>
        <w:t>O</w:t>
      </w:r>
      <w:r w:rsidRPr="00026032">
        <w:rPr>
          <w:rFonts w:ascii="Arial" w:hAnsi="Arial" w:cs="Arial"/>
          <w:color w:val="181717"/>
        </w:rPr>
        <w:t xml:space="preserve">nly in exceptional circumstances should children who have </w:t>
      </w:r>
      <w:r w:rsidRPr="00026032">
        <w:rPr>
          <w:rFonts w:ascii="Arial" w:hAnsi="Arial" w:cs="Arial"/>
          <w:b/>
          <w:color w:val="181717"/>
        </w:rPr>
        <w:t>not</w:t>
      </w:r>
      <w:r w:rsidRPr="00026032">
        <w:rPr>
          <w:rFonts w:ascii="Arial" w:hAnsi="Arial" w:cs="Arial"/>
          <w:color w:val="181717"/>
        </w:rPr>
        <w:t xml:space="preserve"> been permanently excluded be considered for a placement at </w:t>
      </w:r>
      <w:r w:rsidR="001023A4" w:rsidRPr="00026032">
        <w:rPr>
          <w:rFonts w:ascii="Arial" w:hAnsi="Arial" w:cs="Arial"/>
          <w:color w:val="181717"/>
        </w:rPr>
        <w:t>OAT</w:t>
      </w:r>
      <w:r w:rsidRPr="00026032">
        <w:rPr>
          <w:rFonts w:ascii="Arial" w:hAnsi="Arial" w:cs="Arial"/>
          <w:color w:val="181717"/>
        </w:rPr>
        <w:t>; t</w:t>
      </w:r>
      <w:r w:rsidRPr="00026032">
        <w:rPr>
          <w:rFonts w:ascii="Arial" w:hAnsi="Arial" w:cs="Arial"/>
          <w:color w:val="181717"/>
        </w:rPr>
        <w:t xml:space="preserve">he same legislation and principles should apply to any case </w:t>
      </w:r>
      <w:r w:rsidRPr="00026032">
        <w:rPr>
          <w:rFonts w:ascii="Arial" w:hAnsi="Arial" w:cs="Arial"/>
          <w:color w:val="181717"/>
        </w:rPr>
        <w:t xml:space="preserve">where a Managed Move is being considered to </w:t>
      </w:r>
      <w:r w:rsidR="001023A4" w:rsidRPr="00026032">
        <w:rPr>
          <w:rFonts w:ascii="Arial" w:hAnsi="Arial" w:cs="Arial"/>
          <w:color w:val="181717"/>
        </w:rPr>
        <w:t>OAT</w:t>
      </w:r>
      <w:r w:rsidRPr="00026032">
        <w:rPr>
          <w:rFonts w:ascii="Arial" w:hAnsi="Arial" w:cs="Arial"/>
          <w:color w:val="181717"/>
        </w:rPr>
        <w:t xml:space="preserve"> as to any Managed Move</w:t>
      </w:r>
      <w:r w:rsidRPr="00026032">
        <w:rPr>
          <w:rFonts w:ascii="Arial" w:hAnsi="Arial" w:cs="Arial"/>
        </w:rPr>
        <w:t xml:space="preserve"> </w:t>
      </w:r>
      <w:r w:rsidRPr="00026032">
        <w:rPr>
          <w:rFonts w:ascii="Arial" w:hAnsi="Arial" w:cs="Arial"/>
          <w:color w:val="181717"/>
        </w:rPr>
        <w:t>arranged between schools (see paragraphs 3, 4 and 5 above). This will include parental agreement and dual registration until the most suitable permanent placement has been agreed by al</w:t>
      </w:r>
      <w:r w:rsidRPr="00026032">
        <w:rPr>
          <w:rFonts w:ascii="Arial" w:hAnsi="Arial" w:cs="Arial"/>
          <w:color w:val="181717"/>
        </w:rPr>
        <w:t xml:space="preserve">l parties, after 12 weeks.  </w:t>
      </w:r>
    </w:p>
    <w:p w14:paraId="20198902" w14:textId="7DBF28EC" w:rsidR="000F4E84" w:rsidRPr="00026032" w:rsidRDefault="000F4E84" w:rsidP="001023A4">
      <w:pPr>
        <w:spacing w:after="0"/>
        <w:ind w:left="62" w:firstLine="72"/>
        <w:rPr>
          <w:rFonts w:ascii="Arial" w:hAnsi="Arial" w:cs="Arial"/>
        </w:rPr>
      </w:pPr>
    </w:p>
    <w:p w14:paraId="0EA9CEB9" w14:textId="798DD574" w:rsidR="000F4E84" w:rsidRPr="00026032" w:rsidRDefault="00B51D06" w:rsidP="001023A4">
      <w:pPr>
        <w:pStyle w:val="ListParagraph"/>
        <w:numPr>
          <w:ilvl w:val="0"/>
          <w:numId w:val="9"/>
        </w:numPr>
        <w:spacing w:after="0" w:line="226" w:lineRule="auto"/>
        <w:rPr>
          <w:rFonts w:ascii="Arial" w:hAnsi="Arial" w:cs="Arial"/>
        </w:rPr>
      </w:pPr>
      <w:r w:rsidRPr="00026032">
        <w:rPr>
          <w:rFonts w:ascii="Arial" w:hAnsi="Arial" w:cs="Arial"/>
          <w:color w:val="181717"/>
        </w:rPr>
        <w:t xml:space="preserve">Local Authorities are only responsible for the costs of alternative provision for children who have been permanently excluded from their mainstream provision. Therefore, only children who have been </w:t>
      </w:r>
      <w:r w:rsidRPr="00026032">
        <w:rPr>
          <w:rFonts w:ascii="Arial" w:hAnsi="Arial" w:cs="Arial"/>
          <w:b/>
          <w:color w:val="181717"/>
        </w:rPr>
        <w:t>permanently excluded</w:t>
      </w:r>
      <w:r w:rsidRPr="00026032">
        <w:rPr>
          <w:rFonts w:ascii="Arial" w:hAnsi="Arial" w:cs="Arial"/>
          <w:color w:val="181717"/>
        </w:rPr>
        <w:t xml:space="preserve"> will a</w:t>
      </w:r>
      <w:r w:rsidRPr="00026032">
        <w:rPr>
          <w:rFonts w:ascii="Arial" w:hAnsi="Arial" w:cs="Arial"/>
          <w:color w:val="181717"/>
        </w:rPr>
        <w:t xml:space="preserve">utomatically have a place at </w:t>
      </w:r>
      <w:r w:rsidR="001023A4" w:rsidRPr="00026032">
        <w:rPr>
          <w:rFonts w:ascii="Arial" w:hAnsi="Arial" w:cs="Arial"/>
          <w:color w:val="181717"/>
        </w:rPr>
        <w:t>OAT</w:t>
      </w:r>
      <w:r w:rsidRPr="00026032">
        <w:rPr>
          <w:rFonts w:ascii="Arial" w:hAnsi="Arial" w:cs="Arial"/>
          <w:color w:val="181717"/>
        </w:rPr>
        <w:t xml:space="preserve"> funded by the Local Authority. </w:t>
      </w:r>
      <w:r w:rsidRPr="00026032">
        <w:rPr>
          <w:rFonts w:ascii="Arial" w:hAnsi="Arial" w:cs="Arial"/>
        </w:rPr>
        <w:t xml:space="preserve"> </w:t>
      </w:r>
    </w:p>
    <w:p w14:paraId="236C3D24" w14:textId="52A422C9" w:rsidR="000F4E84" w:rsidRPr="00026032" w:rsidRDefault="000F4E84" w:rsidP="001023A4">
      <w:pPr>
        <w:spacing w:after="0"/>
        <w:ind w:left="722" w:firstLine="72"/>
        <w:rPr>
          <w:rFonts w:ascii="Arial" w:hAnsi="Arial" w:cs="Arial"/>
        </w:rPr>
      </w:pPr>
    </w:p>
    <w:p w14:paraId="0A724ED2" w14:textId="3F151661" w:rsidR="000F4E84" w:rsidRPr="00026032" w:rsidRDefault="00B51D06" w:rsidP="001023A4">
      <w:pPr>
        <w:pStyle w:val="ListParagraph"/>
        <w:numPr>
          <w:ilvl w:val="0"/>
          <w:numId w:val="9"/>
        </w:numPr>
        <w:spacing w:after="240" w:line="226" w:lineRule="auto"/>
        <w:rPr>
          <w:rFonts w:ascii="Arial" w:hAnsi="Arial" w:cs="Arial"/>
        </w:rPr>
      </w:pPr>
      <w:r w:rsidRPr="00026032">
        <w:rPr>
          <w:rFonts w:ascii="Arial" w:hAnsi="Arial" w:cs="Arial"/>
          <w:color w:val="181717"/>
        </w:rPr>
        <w:t xml:space="preserve">In H&amp;F, it is recognised that short term intervention and support from experienced and specialist colleagues at </w:t>
      </w:r>
      <w:r w:rsidR="001023A4" w:rsidRPr="00026032">
        <w:rPr>
          <w:rFonts w:ascii="Arial" w:hAnsi="Arial" w:cs="Arial"/>
          <w:color w:val="181717"/>
        </w:rPr>
        <w:t xml:space="preserve">OAT </w:t>
      </w:r>
      <w:r w:rsidRPr="00026032">
        <w:rPr>
          <w:rFonts w:ascii="Arial" w:hAnsi="Arial" w:cs="Arial"/>
          <w:color w:val="181717"/>
        </w:rPr>
        <w:t xml:space="preserve">might prevent the need for a permanent exclusion. The Local Authority </w:t>
      </w:r>
      <w:r w:rsidRPr="00026032">
        <w:rPr>
          <w:rFonts w:ascii="Arial" w:hAnsi="Arial" w:cs="Arial"/>
          <w:color w:val="181717"/>
        </w:rPr>
        <w:t xml:space="preserve">is committed to supporting schools and families to facilitate this support but for the Local Authority to consider contributing to funding a Managed Move to </w:t>
      </w:r>
      <w:r w:rsidR="001023A4" w:rsidRPr="00026032">
        <w:rPr>
          <w:rFonts w:ascii="Arial" w:hAnsi="Arial" w:cs="Arial"/>
          <w:color w:val="181717"/>
        </w:rPr>
        <w:t>OAT</w:t>
      </w:r>
      <w:r w:rsidRPr="00026032">
        <w:rPr>
          <w:rFonts w:ascii="Arial" w:hAnsi="Arial" w:cs="Arial"/>
          <w:color w:val="181717"/>
        </w:rPr>
        <w:t>, the written agreement of the Assistant Director (Education) is essential.</w:t>
      </w:r>
      <w:r w:rsidRPr="00026032">
        <w:rPr>
          <w:rFonts w:ascii="Arial" w:hAnsi="Arial" w:cs="Arial"/>
        </w:rPr>
        <w:t xml:space="preserve"> </w:t>
      </w:r>
    </w:p>
    <w:p w14:paraId="5E467F5E" w14:textId="49286C8E" w:rsidR="000F4E84" w:rsidRPr="00026032" w:rsidRDefault="000F4E84" w:rsidP="001023A4">
      <w:pPr>
        <w:spacing w:after="0"/>
        <w:ind w:left="2" w:firstLine="72"/>
        <w:rPr>
          <w:rFonts w:ascii="Arial" w:hAnsi="Arial" w:cs="Arial"/>
        </w:rPr>
      </w:pPr>
    </w:p>
    <w:p w14:paraId="51911203" w14:textId="5EB966C4" w:rsidR="000F4E84" w:rsidRPr="008C2799" w:rsidRDefault="00B51D06" w:rsidP="001023A4">
      <w:pPr>
        <w:pStyle w:val="ListParagraph"/>
        <w:numPr>
          <w:ilvl w:val="0"/>
          <w:numId w:val="9"/>
        </w:numPr>
        <w:spacing w:after="230" w:line="226" w:lineRule="auto"/>
        <w:rPr>
          <w:rFonts w:ascii="Arial" w:hAnsi="Arial" w:cs="Arial"/>
        </w:rPr>
      </w:pPr>
      <w:r w:rsidRPr="00026032">
        <w:rPr>
          <w:rFonts w:ascii="Arial" w:hAnsi="Arial" w:cs="Arial"/>
          <w:color w:val="181717"/>
        </w:rPr>
        <w:t>For schools want</w:t>
      </w:r>
      <w:r w:rsidRPr="00026032">
        <w:rPr>
          <w:rFonts w:ascii="Arial" w:hAnsi="Arial" w:cs="Arial"/>
          <w:color w:val="181717"/>
        </w:rPr>
        <w:t xml:space="preserve">ing to refer for a Managed Move to </w:t>
      </w:r>
      <w:r w:rsidR="001023A4" w:rsidRPr="00026032">
        <w:rPr>
          <w:rFonts w:ascii="Arial" w:hAnsi="Arial" w:cs="Arial"/>
          <w:color w:val="181717"/>
        </w:rPr>
        <w:t>OAT</w:t>
      </w:r>
      <w:r w:rsidRPr="00026032">
        <w:rPr>
          <w:rFonts w:ascii="Arial" w:hAnsi="Arial" w:cs="Arial"/>
          <w:color w:val="181717"/>
        </w:rPr>
        <w:t xml:space="preserve">, the referral form should be forwarded to the Head of ACE/Admissions and the AD Education. If approved by the AD, the LA will fund the difference in cost between a mainstream place and </w:t>
      </w:r>
      <w:r w:rsidR="001023A4" w:rsidRPr="00026032">
        <w:rPr>
          <w:rFonts w:ascii="Arial" w:hAnsi="Arial" w:cs="Arial"/>
          <w:color w:val="181717"/>
        </w:rPr>
        <w:t>an</w:t>
      </w:r>
      <w:r w:rsidRPr="00026032">
        <w:rPr>
          <w:rFonts w:ascii="Arial" w:hAnsi="Arial" w:cs="Arial"/>
          <w:color w:val="181717"/>
        </w:rPr>
        <w:t xml:space="preserve"> </w:t>
      </w:r>
      <w:r w:rsidR="001023A4" w:rsidRPr="00026032">
        <w:rPr>
          <w:rFonts w:ascii="Arial" w:hAnsi="Arial" w:cs="Arial"/>
          <w:color w:val="181717"/>
        </w:rPr>
        <w:t>OAT</w:t>
      </w:r>
      <w:r w:rsidRPr="00026032">
        <w:rPr>
          <w:rFonts w:ascii="Arial" w:hAnsi="Arial" w:cs="Arial"/>
          <w:color w:val="181717"/>
        </w:rPr>
        <w:t xml:space="preserve"> place for the 12-week pe</w:t>
      </w:r>
      <w:r w:rsidRPr="00026032">
        <w:rPr>
          <w:rFonts w:ascii="Arial" w:hAnsi="Arial" w:cs="Arial"/>
          <w:color w:val="181717"/>
        </w:rPr>
        <w:t xml:space="preserve">riod of dual registration, when the decision should be made about the child’s future education provision. </w:t>
      </w:r>
    </w:p>
    <w:p w14:paraId="1738E87E" w14:textId="77777777" w:rsidR="008C2799" w:rsidRPr="008C2799" w:rsidRDefault="008C2799" w:rsidP="008C2799">
      <w:pPr>
        <w:pStyle w:val="ListParagraph"/>
        <w:rPr>
          <w:rFonts w:ascii="Arial" w:hAnsi="Arial" w:cs="Arial"/>
        </w:rPr>
      </w:pPr>
    </w:p>
    <w:p w14:paraId="09A843AD" w14:textId="77777777" w:rsidR="008C2799" w:rsidRPr="008C2799" w:rsidRDefault="008C2799" w:rsidP="008C2799">
      <w:pPr>
        <w:spacing w:after="230" w:line="226" w:lineRule="auto"/>
        <w:rPr>
          <w:rFonts w:ascii="Arial" w:hAnsi="Arial" w:cs="Arial"/>
        </w:rPr>
      </w:pPr>
    </w:p>
    <w:p w14:paraId="456CE743" w14:textId="77777777" w:rsidR="000F4E84" w:rsidRPr="00026032" w:rsidRDefault="00B51D06">
      <w:pPr>
        <w:numPr>
          <w:ilvl w:val="0"/>
          <w:numId w:val="2"/>
        </w:numPr>
        <w:spacing w:after="0"/>
        <w:ind w:hanging="361"/>
        <w:rPr>
          <w:rFonts w:ascii="Arial" w:hAnsi="Arial" w:cs="Arial"/>
        </w:rPr>
      </w:pPr>
      <w:r w:rsidRPr="00026032">
        <w:rPr>
          <w:rFonts w:ascii="Arial" w:hAnsi="Arial" w:cs="Arial"/>
          <w:b/>
          <w:color w:val="181717"/>
        </w:rPr>
        <w:t xml:space="preserve">Procedures </w:t>
      </w:r>
      <w:r w:rsidRPr="00026032">
        <w:rPr>
          <w:rFonts w:ascii="Arial" w:hAnsi="Arial" w:cs="Arial"/>
          <w:b/>
        </w:rPr>
        <w:t xml:space="preserve"> </w:t>
      </w:r>
    </w:p>
    <w:p w14:paraId="7DF0DDF0" w14:textId="77777777" w:rsidR="000F4E84" w:rsidRPr="00026032" w:rsidRDefault="00B51D06">
      <w:pPr>
        <w:spacing w:after="0"/>
        <w:ind w:left="2"/>
        <w:rPr>
          <w:rFonts w:ascii="Arial" w:hAnsi="Arial" w:cs="Arial"/>
        </w:rPr>
      </w:pPr>
      <w:r w:rsidRPr="00026032">
        <w:rPr>
          <w:rFonts w:ascii="Arial" w:hAnsi="Arial" w:cs="Arial"/>
        </w:rPr>
        <w:t xml:space="preserve"> </w:t>
      </w:r>
    </w:p>
    <w:p w14:paraId="1C7F2FE8" w14:textId="77777777" w:rsidR="000F4E84" w:rsidRPr="00026032" w:rsidRDefault="00B51D06" w:rsidP="001023A4">
      <w:pPr>
        <w:pStyle w:val="ListParagraph"/>
        <w:numPr>
          <w:ilvl w:val="0"/>
          <w:numId w:val="11"/>
        </w:numPr>
        <w:spacing w:after="0" w:line="231" w:lineRule="auto"/>
        <w:ind w:right="62"/>
        <w:rPr>
          <w:rFonts w:ascii="Arial" w:hAnsi="Arial" w:cs="Arial"/>
        </w:rPr>
      </w:pPr>
      <w:r w:rsidRPr="00026032">
        <w:rPr>
          <w:rFonts w:ascii="Arial" w:hAnsi="Arial" w:cs="Arial"/>
          <w:color w:val="181717"/>
        </w:rPr>
        <w:t xml:space="preserve">Prior to requesting a Managed Move, the Head Teacher should satisfy him/ herself that all reasonable steps have been taken to resolve </w:t>
      </w:r>
      <w:r w:rsidRPr="00026032">
        <w:rPr>
          <w:rFonts w:ascii="Arial" w:hAnsi="Arial" w:cs="Arial"/>
          <w:color w:val="181717"/>
        </w:rPr>
        <w:t>the child’s difficulties</w:t>
      </w:r>
      <w:r w:rsidRPr="00026032">
        <w:rPr>
          <w:rFonts w:ascii="Arial" w:hAnsi="Arial" w:cs="Arial"/>
        </w:rPr>
        <w:t xml:space="preserve"> </w:t>
      </w:r>
      <w:r w:rsidRPr="00026032">
        <w:rPr>
          <w:rFonts w:ascii="Arial" w:hAnsi="Arial" w:cs="Arial"/>
          <w:color w:val="181717"/>
        </w:rPr>
        <w:t xml:space="preserve">in school, including the involvement of support services, both internal and external.  </w:t>
      </w:r>
    </w:p>
    <w:p w14:paraId="565DAA87" w14:textId="535010D6" w:rsidR="000F4E84" w:rsidRPr="00026032" w:rsidRDefault="000F4E84" w:rsidP="001023A4">
      <w:pPr>
        <w:spacing w:after="0"/>
        <w:ind w:left="621"/>
        <w:rPr>
          <w:rFonts w:ascii="Arial" w:hAnsi="Arial" w:cs="Arial"/>
        </w:rPr>
      </w:pPr>
    </w:p>
    <w:p w14:paraId="6263CF50" w14:textId="77777777" w:rsidR="000F4E84" w:rsidRPr="00026032" w:rsidRDefault="00B51D06" w:rsidP="001023A4">
      <w:pPr>
        <w:pStyle w:val="ListParagraph"/>
        <w:numPr>
          <w:ilvl w:val="0"/>
          <w:numId w:val="11"/>
        </w:numPr>
        <w:spacing w:after="0" w:line="231" w:lineRule="auto"/>
        <w:ind w:right="62"/>
        <w:rPr>
          <w:rFonts w:ascii="Arial" w:hAnsi="Arial" w:cs="Arial"/>
        </w:rPr>
      </w:pPr>
      <w:r w:rsidRPr="00026032">
        <w:rPr>
          <w:rFonts w:ascii="Arial" w:hAnsi="Arial" w:cs="Arial"/>
          <w:color w:val="181717"/>
        </w:rPr>
        <w:t xml:space="preserve">The Head Teacher should then consult the parents and the child about their views on a move to another school. The school should invite any other relevant professionals.  </w:t>
      </w:r>
    </w:p>
    <w:p w14:paraId="2A151AD6" w14:textId="41A2D1D6" w:rsidR="000F4E84" w:rsidRPr="00026032" w:rsidRDefault="000F4E84" w:rsidP="001023A4">
      <w:pPr>
        <w:spacing w:after="0"/>
        <w:ind w:left="621"/>
        <w:rPr>
          <w:rFonts w:ascii="Arial" w:hAnsi="Arial" w:cs="Arial"/>
        </w:rPr>
      </w:pPr>
    </w:p>
    <w:p w14:paraId="06B3575E" w14:textId="77777777" w:rsidR="000F4E84" w:rsidRPr="00026032" w:rsidRDefault="00B51D06" w:rsidP="001023A4">
      <w:pPr>
        <w:pStyle w:val="ListParagraph"/>
        <w:numPr>
          <w:ilvl w:val="0"/>
          <w:numId w:val="11"/>
        </w:numPr>
        <w:spacing w:after="0" w:line="231" w:lineRule="auto"/>
        <w:ind w:right="62"/>
        <w:rPr>
          <w:rFonts w:ascii="Arial" w:hAnsi="Arial" w:cs="Arial"/>
        </w:rPr>
      </w:pPr>
      <w:r w:rsidRPr="00026032">
        <w:rPr>
          <w:rFonts w:ascii="Arial" w:hAnsi="Arial" w:cs="Arial"/>
          <w:color w:val="181717"/>
        </w:rPr>
        <w:t xml:space="preserve">Schools must not suggest to parents that they remove the child and find another school. In any cases where it has been reported this has happened, the Local Authority is obliged to formally investigate.  </w:t>
      </w:r>
    </w:p>
    <w:p w14:paraId="292B5989" w14:textId="1E58CE65" w:rsidR="000F4E84" w:rsidRPr="00026032" w:rsidRDefault="000F4E84" w:rsidP="001023A4">
      <w:pPr>
        <w:spacing w:after="0"/>
        <w:ind w:left="621"/>
        <w:rPr>
          <w:rFonts w:ascii="Arial" w:hAnsi="Arial" w:cs="Arial"/>
        </w:rPr>
      </w:pPr>
    </w:p>
    <w:p w14:paraId="7F16B2EF" w14:textId="77777777" w:rsidR="000F4E84" w:rsidRPr="00026032" w:rsidRDefault="00B51D06" w:rsidP="001023A4">
      <w:pPr>
        <w:pStyle w:val="ListParagraph"/>
        <w:numPr>
          <w:ilvl w:val="0"/>
          <w:numId w:val="11"/>
        </w:numPr>
        <w:spacing w:after="0" w:line="231" w:lineRule="auto"/>
        <w:ind w:right="62"/>
        <w:rPr>
          <w:rFonts w:ascii="Arial" w:hAnsi="Arial" w:cs="Arial"/>
        </w:rPr>
      </w:pPr>
      <w:r w:rsidRPr="00026032">
        <w:rPr>
          <w:rFonts w:ascii="Arial" w:hAnsi="Arial" w:cs="Arial"/>
          <w:color w:val="181717"/>
        </w:rPr>
        <w:t>Once parents agree that a Managed Move is appropr</w:t>
      </w:r>
      <w:r w:rsidRPr="00026032">
        <w:rPr>
          <w:rFonts w:ascii="Arial" w:hAnsi="Arial" w:cs="Arial"/>
          <w:color w:val="181717"/>
        </w:rPr>
        <w:t>iate, and written consent is obtained,</w:t>
      </w:r>
      <w:r w:rsidRPr="00026032">
        <w:rPr>
          <w:rFonts w:ascii="Arial" w:hAnsi="Arial" w:cs="Arial"/>
        </w:rPr>
        <w:t xml:space="preserve"> </w:t>
      </w:r>
      <w:r w:rsidRPr="00026032">
        <w:rPr>
          <w:rFonts w:ascii="Arial" w:hAnsi="Arial" w:cs="Arial"/>
          <w:b/>
          <w:color w:val="181717"/>
        </w:rPr>
        <w:t xml:space="preserve">parents should be informed that a request for a managed move may not always be accepted. </w:t>
      </w:r>
      <w:r w:rsidRPr="00026032">
        <w:rPr>
          <w:rFonts w:ascii="Arial" w:hAnsi="Arial" w:cs="Arial"/>
          <w:color w:val="181717"/>
        </w:rPr>
        <w:t>Parents should also be advised that moves can only be brokered with schools with spaces in the year group, as managed moves cann</w:t>
      </w:r>
      <w:r w:rsidRPr="00026032">
        <w:rPr>
          <w:rFonts w:ascii="Arial" w:hAnsi="Arial" w:cs="Arial"/>
          <w:color w:val="181717"/>
        </w:rPr>
        <w:t xml:space="preserve">ot take priority over children on a school waiting list.  </w:t>
      </w:r>
    </w:p>
    <w:p w14:paraId="24DB76AF" w14:textId="4FF2AF63" w:rsidR="000F4E84" w:rsidRPr="00026032" w:rsidRDefault="000F4E84" w:rsidP="001023A4">
      <w:pPr>
        <w:spacing w:after="0"/>
        <w:ind w:left="621"/>
        <w:rPr>
          <w:rFonts w:ascii="Arial" w:hAnsi="Arial" w:cs="Arial"/>
        </w:rPr>
      </w:pPr>
    </w:p>
    <w:p w14:paraId="1264D4CB" w14:textId="77777777" w:rsidR="000F4E84" w:rsidRPr="00026032" w:rsidRDefault="00B51D06" w:rsidP="001023A4">
      <w:pPr>
        <w:pStyle w:val="ListParagraph"/>
        <w:numPr>
          <w:ilvl w:val="0"/>
          <w:numId w:val="11"/>
        </w:numPr>
        <w:spacing w:after="0" w:line="231" w:lineRule="auto"/>
        <w:ind w:right="62"/>
        <w:rPr>
          <w:rFonts w:ascii="Arial" w:hAnsi="Arial" w:cs="Arial"/>
        </w:rPr>
      </w:pPr>
      <w:r w:rsidRPr="00026032">
        <w:rPr>
          <w:rFonts w:ascii="Arial" w:hAnsi="Arial" w:cs="Arial"/>
          <w:color w:val="181717"/>
        </w:rPr>
        <w:t>When a receiving school has been identified and the parents have agreed, information will be shared with the potential receiving school. A meeting should then be arranged as soon as possible at t</w:t>
      </w:r>
      <w:r w:rsidRPr="00026032">
        <w:rPr>
          <w:rFonts w:ascii="Arial" w:hAnsi="Arial" w:cs="Arial"/>
          <w:color w:val="181717"/>
        </w:rPr>
        <w:t xml:space="preserve">he receiving school (good practice would be within 2 weeks). Representatives from both schools, parents and the child should attend this meeting. If the child refuses to engage at this meeting he/she will remain at the original school.  </w:t>
      </w:r>
    </w:p>
    <w:p w14:paraId="41443295" w14:textId="2C3F59BC" w:rsidR="000F4E84" w:rsidRPr="00026032" w:rsidRDefault="000F4E84" w:rsidP="001023A4">
      <w:pPr>
        <w:spacing w:after="0"/>
        <w:ind w:left="621"/>
        <w:rPr>
          <w:rFonts w:ascii="Arial" w:hAnsi="Arial" w:cs="Arial"/>
        </w:rPr>
      </w:pPr>
    </w:p>
    <w:p w14:paraId="705558DD" w14:textId="5F629BE0" w:rsidR="000F4E84" w:rsidRPr="00026032" w:rsidRDefault="00B51D06" w:rsidP="001023A4">
      <w:pPr>
        <w:pStyle w:val="ListParagraph"/>
        <w:numPr>
          <w:ilvl w:val="0"/>
          <w:numId w:val="11"/>
        </w:numPr>
        <w:spacing w:after="45" w:line="231" w:lineRule="auto"/>
        <w:ind w:right="62"/>
        <w:rPr>
          <w:rFonts w:ascii="Arial" w:hAnsi="Arial" w:cs="Arial"/>
        </w:rPr>
      </w:pPr>
      <w:r w:rsidRPr="00026032">
        <w:rPr>
          <w:rFonts w:ascii="Arial" w:hAnsi="Arial" w:cs="Arial"/>
          <w:color w:val="181717"/>
        </w:rPr>
        <w:t xml:space="preserve">At the meeting, </w:t>
      </w:r>
      <w:r w:rsidRPr="00026032">
        <w:rPr>
          <w:rFonts w:ascii="Arial" w:hAnsi="Arial" w:cs="Arial"/>
          <w:color w:val="181717"/>
        </w:rPr>
        <w:t xml:space="preserve">the following arrangements should be agreed and recorded (the involvement of the Virtual School is imperative if the child is a looked after child): </w:t>
      </w:r>
    </w:p>
    <w:p w14:paraId="153F1537" w14:textId="77777777" w:rsidR="000F4E84" w:rsidRPr="00026032" w:rsidRDefault="00B51D06" w:rsidP="0007596F">
      <w:pPr>
        <w:numPr>
          <w:ilvl w:val="0"/>
          <w:numId w:val="12"/>
        </w:numPr>
        <w:spacing w:after="45" w:line="231" w:lineRule="auto"/>
        <w:ind w:right="62"/>
        <w:rPr>
          <w:rFonts w:ascii="Arial" w:hAnsi="Arial" w:cs="Arial"/>
        </w:rPr>
      </w:pPr>
      <w:r w:rsidRPr="00026032">
        <w:rPr>
          <w:rFonts w:ascii="Arial" w:hAnsi="Arial" w:cs="Arial"/>
          <w:color w:val="181717"/>
        </w:rPr>
        <w:t xml:space="preserve">The starting date for the move (within 1 week of the meeting)  </w:t>
      </w:r>
    </w:p>
    <w:p w14:paraId="301DAD6F" w14:textId="77777777" w:rsidR="000F4E84" w:rsidRPr="00026032" w:rsidRDefault="00B51D06" w:rsidP="0007596F">
      <w:pPr>
        <w:numPr>
          <w:ilvl w:val="0"/>
          <w:numId w:val="12"/>
        </w:numPr>
        <w:spacing w:after="45" w:line="231" w:lineRule="auto"/>
        <w:ind w:right="62"/>
        <w:rPr>
          <w:rFonts w:ascii="Arial" w:hAnsi="Arial" w:cs="Arial"/>
        </w:rPr>
      </w:pPr>
      <w:r w:rsidRPr="00026032">
        <w:rPr>
          <w:rFonts w:ascii="Arial" w:hAnsi="Arial" w:cs="Arial"/>
          <w:color w:val="181717"/>
        </w:rPr>
        <w:t>The duration of the Managed Move. This sho</w:t>
      </w:r>
      <w:r w:rsidRPr="00026032">
        <w:rPr>
          <w:rFonts w:ascii="Arial" w:hAnsi="Arial" w:cs="Arial"/>
          <w:color w:val="181717"/>
        </w:rPr>
        <w:t>uld give time for the child to meet</w:t>
      </w:r>
      <w:r w:rsidRPr="00026032">
        <w:rPr>
          <w:rFonts w:ascii="Arial" w:hAnsi="Arial" w:cs="Arial"/>
        </w:rPr>
        <w:t xml:space="preserve"> </w:t>
      </w:r>
      <w:r w:rsidRPr="00026032">
        <w:rPr>
          <w:rFonts w:ascii="Arial" w:hAnsi="Arial" w:cs="Arial"/>
          <w:color w:val="181717"/>
        </w:rPr>
        <w:t>the targets set consistently. A suggested length is 6 weeks. In some instances,</w:t>
      </w:r>
      <w:r w:rsidRPr="00026032">
        <w:rPr>
          <w:rFonts w:ascii="Arial" w:hAnsi="Arial" w:cs="Arial"/>
        </w:rPr>
        <w:t xml:space="preserve"> </w:t>
      </w:r>
      <w:r w:rsidRPr="00026032">
        <w:rPr>
          <w:rFonts w:ascii="Arial" w:hAnsi="Arial" w:cs="Arial"/>
          <w:color w:val="181717"/>
        </w:rPr>
        <w:t>this may increase up to (but not exceeding) 12 weeks, if there are specific circumstances identified that would justify exceeding the initia</w:t>
      </w:r>
      <w:r w:rsidRPr="00026032">
        <w:rPr>
          <w:rFonts w:ascii="Arial" w:hAnsi="Arial" w:cs="Arial"/>
          <w:color w:val="181717"/>
        </w:rPr>
        <w:t xml:space="preserve">l 6-week period.  c) Background to the Managed Move request </w:t>
      </w:r>
    </w:p>
    <w:p w14:paraId="7D93359D" w14:textId="2FE5023F" w:rsidR="000F4E84" w:rsidRPr="00026032" w:rsidRDefault="00B51D06" w:rsidP="0007596F">
      <w:pPr>
        <w:numPr>
          <w:ilvl w:val="0"/>
          <w:numId w:val="12"/>
        </w:numPr>
        <w:spacing w:after="45" w:line="231" w:lineRule="auto"/>
        <w:ind w:right="62"/>
        <w:rPr>
          <w:rFonts w:ascii="Arial" w:hAnsi="Arial" w:cs="Arial"/>
        </w:rPr>
      </w:pPr>
      <w:r w:rsidRPr="00026032">
        <w:rPr>
          <w:rFonts w:ascii="Arial" w:hAnsi="Arial" w:cs="Arial"/>
          <w:color w:val="181717"/>
        </w:rPr>
        <w:t>Any agreed attendance arrangements</w:t>
      </w:r>
      <w:r w:rsidRPr="00026032">
        <w:rPr>
          <w:rFonts w:ascii="Arial" w:hAnsi="Arial" w:cs="Arial"/>
          <w:color w:val="181717"/>
        </w:rPr>
        <w:t xml:space="preserve"> </w:t>
      </w:r>
      <w:r w:rsidR="001023A4" w:rsidRPr="00026032">
        <w:rPr>
          <w:rFonts w:ascii="Arial" w:hAnsi="Arial" w:cs="Arial"/>
          <w:color w:val="181717"/>
        </w:rPr>
        <w:t>e.g.,</w:t>
      </w:r>
      <w:r w:rsidRPr="00026032">
        <w:rPr>
          <w:rFonts w:ascii="Arial" w:hAnsi="Arial" w:cs="Arial"/>
          <w:color w:val="181717"/>
        </w:rPr>
        <w:t xml:space="preserve"> an initial reduced programme may be agreed for a limited period </w:t>
      </w:r>
    </w:p>
    <w:p w14:paraId="137CD461" w14:textId="77777777" w:rsidR="000F4E84" w:rsidRPr="00026032" w:rsidRDefault="00B51D06" w:rsidP="0007596F">
      <w:pPr>
        <w:numPr>
          <w:ilvl w:val="0"/>
          <w:numId w:val="12"/>
        </w:numPr>
        <w:spacing w:after="45" w:line="231" w:lineRule="auto"/>
        <w:ind w:right="62"/>
        <w:rPr>
          <w:rFonts w:ascii="Arial" w:hAnsi="Arial" w:cs="Arial"/>
        </w:rPr>
      </w:pPr>
      <w:r w:rsidRPr="00026032">
        <w:rPr>
          <w:rFonts w:ascii="Arial" w:hAnsi="Arial" w:cs="Arial"/>
          <w:color w:val="181717"/>
        </w:rPr>
        <w:t>Specific reasonable/appropriate targets for the pupil – these should be based on the indi</w:t>
      </w:r>
      <w:r w:rsidRPr="00026032">
        <w:rPr>
          <w:rFonts w:ascii="Arial" w:hAnsi="Arial" w:cs="Arial"/>
          <w:color w:val="181717"/>
        </w:rPr>
        <w:t xml:space="preserve">vidual needs of the child </w:t>
      </w:r>
    </w:p>
    <w:p w14:paraId="36EC48F5" w14:textId="7EAB4129" w:rsidR="000F4E84" w:rsidRPr="00026032" w:rsidRDefault="00B51D06" w:rsidP="0007596F">
      <w:pPr>
        <w:numPr>
          <w:ilvl w:val="0"/>
          <w:numId w:val="12"/>
        </w:numPr>
        <w:spacing w:after="45" w:line="231" w:lineRule="auto"/>
        <w:ind w:right="62"/>
        <w:rPr>
          <w:rFonts w:ascii="Arial" w:hAnsi="Arial" w:cs="Arial"/>
        </w:rPr>
      </w:pPr>
      <w:r w:rsidRPr="00026032">
        <w:rPr>
          <w:rFonts w:ascii="Arial" w:hAnsi="Arial" w:cs="Arial"/>
          <w:color w:val="181717"/>
        </w:rPr>
        <w:t xml:space="preserve">Other factors that should be considered </w:t>
      </w:r>
      <w:r w:rsidR="001023A4" w:rsidRPr="00026032">
        <w:rPr>
          <w:rFonts w:ascii="Arial" w:hAnsi="Arial" w:cs="Arial"/>
          <w:color w:val="181717"/>
        </w:rPr>
        <w:t>e.g.,</w:t>
      </w:r>
      <w:r w:rsidRPr="00026032">
        <w:rPr>
          <w:rFonts w:ascii="Arial" w:hAnsi="Arial" w:cs="Arial"/>
          <w:color w:val="181717"/>
        </w:rPr>
        <w:t xml:space="preserve"> any additional learning needs  </w:t>
      </w:r>
    </w:p>
    <w:p w14:paraId="21B7AFEE" w14:textId="77777777" w:rsidR="000F4E84" w:rsidRPr="00026032" w:rsidRDefault="00B51D06" w:rsidP="0007596F">
      <w:pPr>
        <w:numPr>
          <w:ilvl w:val="0"/>
          <w:numId w:val="12"/>
        </w:numPr>
        <w:spacing w:after="45" w:line="231" w:lineRule="auto"/>
        <w:ind w:right="62"/>
        <w:rPr>
          <w:rFonts w:ascii="Arial" w:hAnsi="Arial" w:cs="Arial"/>
        </w:rPr>
      </w:pPr>
      <w:r w:rsidRPr="00026032">
        <w:rPr>
          <w:rFonts w:ascii="Arial" w:hAnsi="Arial" w:cs="Arial"/>
          <w:color w:val="181717"/>
        </w:rPr>
        <w:t xml:space="preserve">Planning the response of the receiving school should instances of poor behaviour occur.  </w:t>
      </w:r>
    </w:p>
    <w:p w14:paraId="1EE4F788" w14:textId="77777777" w:rsidR="000F4E84" w:rsidRPr="00026032" w:rsidRDefault="00B51D06" w:rsidP="0007596F">
      <w:pPr>
        <w:numPr>
          <w:ilvl w:val="0"/>
          <w:numId w:val="12"/>
        </w:numPr>
        <w:spacing w:after="51" w:line="228" w:lineRule="auto"/>
        <w:ind w:right="62"/>
        <w:rPr>
          <w:rFonts w:ascii="Arial" w:hAnsi="Arial" w:cs="Arial"/>
        </w:rPr>
      </w:pPr>
      <w:r w:rsidRPr="00026032">
        <w:rPr>
          <w:rFonts w:ascii="Arial" w:hAnsi="Arial" w:cs="Arial"/>
          <w:color w:val="181717"/>
        </w:rPr>
        <w:t xml:space="preserve">The dates set for the review meeting(s) if appropriate. For a </w:t>
      </w:r>
      <w:r w:rsidRPr="00026032">
        <w:rPr>
          <w:rFonts w:ascii="Arial" w:hAnsi="Arial" w:cs="Arial"/>
          <w:color w:val="181717"/>
        </w:rPr>
        <w:t xml:space="preserve">6-week duration the review may be in the 6th week, however, if potential issues have been identified as part of the weekly report to the home school, the school should use their professional judgement to decide whether a review should be held prior to the </w:t>
      </w:r>
      <w:r w:rsidRPr="00026032">
        <w:rPr>
          <w:rFonts w:ascii="Arial" w:hAnsi="Arial" w:cs="Arial"/>
          <w:color w:val="181717"/>
        </w:rPr>
        <w:t xml:space="preserve">end of the 6-week period.  </w:t>
      </w:r>
    </w:p>
    <w:p w14:paraId="50F8ED7A" w14:textId="77777777" w:rsidR="000F4E84" w:rsidRPr="00026032" w:rsidRDefault="00B51D06" w:rsidP="0007596F">
      <w:pPr>
        <w:numPr>
          <w:ilvl w:val="0"/>
          <w:numId w:val="12"/>
        </w:numPr>
        <w:spacing w:after="52" w:line="228" w:lineRule="auto"/>
        <w:ind w:right="62"/>
        <w:rPr>
          <w:rFonts w:ascii="Arial" w:hAnsi="Arial" w:cs="Arial"/>
        </w:rPr>
      </w:pPr>
      <w:r w:rsidRPr="00026032">
        <w:rPr>
          <w:rFonts w:ascii="Arial" w:hAnsi="Arial" w:cs="Arial"/>
          <w:color w:val="181717"/>
        </w:rPr>
        <w:t>Arrangements for recording and reporting actual attendance; the pupil will be dual registered at the two schools and must be registered as such in both schools’ information management systems (SIMS) under ‘pupil enrolment status’. A dual registration form</w:t>
      </w:r>
      <w:r w:rsidRPr="00026032">
        <w:rPr>
          <w:rFonts w:ascii="Arial" w:hAnsi="Arial" w:cs="Arial"/>
        </w:rPr>
        <w:t xml:space="preserve"> </w:t>
      </w:r>
      <w:r w:rsidRPr="00026032">
        <w:rPr>
          <w:rFonts w:ascii="Arial" w:hAnsi="Arial" w:cs="Arial"/>
          <w:color w:val="181717"/>
        </w:rPr>
        <w:t>should be completed and signed by all parties.</w:t>
      </w:r>
      <w:r w:rsidRPr="00026032">
        <w:rPr>
          <w:rFonts w:ascii="Arial" w:hAnsi="Arial" w:cs="Arial"/>
        </w:rPr>
        <w:t xml:space="preserve">  </w:t>
      </w:r>
    </w:p>
    <w:p w14:paraId="78BB4FB0" w14:textId="77777777" w:rsidR="000F4E84" w:rsidRPr="00026032" w:rsidRDefault="00B51D06">
      <w:pPr>
        <w:spacing w:after="0"/>
        <w:ind w:left="2"/>
        <w:rPr>
          <w:rFonts w:ascii="Arial" w:hAnsi="Arial" w:cs="Arial"/>
        </w:rPr>
      </w:pPr>
      <w:r w:rsidRPr="00026032">
        <w:rPr>
          <w:rFonts w:ascii="Arial" w:hAnsi="Arial" w:cs="Arial"/>
        </w:rPr>
        <w:t xml:space="preserve"> </w:t>
      </w:r>
    </w:p>
    <w:p w14:paraId="44ED0222" w14:textId="77777777" w:rsidR="000F4E84" w:rsidRPr="00026032" w:rsidRDefault="00B51D06">
      <w:pPr>
        <w:pStyle w:val="Heading1"/>
        <w:ind w:left="357"/>
        <w:rPr>
          <w:rFonts w:ascii="Arial" w:hAnsi="Arial" w:cs="Arial"/>
          <w:sz w:val="22"/>
        </w:rPr>
      </w:pPr>
      <w:r w:rsidRPr="00026032">
        <w:rPr>
          <w:rFonts w:ascii="Arial" w:hAnsi="Arial" w:cs="Arial"/>
          <w:sz w:val="22"/>
        </w:rPr>
        <w:t xml:space="preserve">8) Views of the child  </w:t>
      </w:r>
    </w:p>
    <w:p w14:paraId="53779B1B" w14:textId="77777777" w:rsidR="000F4E84" w:rsidRPr="00026032" w:rsidRDefault="00B51D06">
      <w:pPr>
        <w:spacing w:after="0"/>
        <w:ind w:left="2"/>
        <w:rPr>
          <w:rFonts w:ascii="Arial" w:hAnsi="Arial" w:cs="Arial"/>
        </w:rPr>
      </w:pPr>
      <w:r w:rsidRPr="00026032">
        <w:rPr>
          <w:rFonts w:ascii="Arial" w:hAnsi="Arial" w:cs="Arial"/>
        </w:rPr>
        <w:t xml:space="preserve"> </w:t>
      </w:r>
    </w:p>
    <w:p w14:paraId="2E8642F6" w14:textId="77777777" w:rsidR="000F4E84" w:rsidRPr="00026032" w:rsidRDefault="00B51D06">
      <w:pPr>
        <w:spacing w:after="1" w:line="228" w:lineRule="auto"/>
        <w:ind w:left="-3" w:hanging="10"/>
        <w:rPr>
          <w:rFonts w:ascii="Arial" w:hAnsi="Arial" w:cs="Arial"/>
        </w:rPr>
      </w:pPr>
      <w:r w:rsidRPr="00026032">
        <w:rPr>
          <w:rFonts w:ascii="Arial" w:hAnsi="Arial" w:cs="Arial"/>
          <w:color w:val="181717"/>
        </w:rPr>
        <w:t>While it is expected that the child should attend some, if not all, of the Managed Move Meetings and be encouraged to express views freely and honestly, it may be difficult for th</w:t>
      </w:r>
      <w:r w:rsidRPr="00026032">
        <w:rPr>
          <w:rFonts w:ascii="Arial" w:hAnsi="Arial" w:cs="Arial"/>
          <w:color w:val="181717"/>
        </w:rPr>
        <w:t xml:space="preserve">em to do this. An adult who has a good rapport with the child should find out what he/she thinks about the current situation.  </w:t>
      </w:r>
    </w:p>
    <w:p w14:paraId="6FC39D46" w14:textId="77777777" w:rsidR="000F4E84" w:rsidRPr="00026032" w:rsidRDefault="00B51D06">
      <w:pPr>
        <w:spacing w:after="0"/>
        <w:ind w:left="2"/>
        <w:rPr>
          <w:rFonts w:ascii="Arial" w:hAnsi="Arial" w:cs="Arial"/>
        </w:rPr>
      </w:pPr>
      <w:r w:rsidRPr="00026032">
        <w:rPr>
          <w:rFonts w:ascii="Arial" w:hAnsi="Arial" w:cs="Arial"/>
        </w:rPr>
        <w:t xml:space="preserve"> </w:t>
      </w:r>
    </w:p>
    <w:p w14:paraId="3E757254" w14:textId="77777777" w:rsidR="000F4E84" w:rsidRPr="00026032" w:rsidRDefault="00B51D06">
      <w:pPr>
        <w:pStyle w:val="Heading1"/>
        <w:ind w:left="357"/>
        <w:rPr>
          <w:rFonts w:ascii="Arial" w:hAnsi="Arial" w:cs="Arial"/>
          <w:sz w:val="22"/>
        </w:rPr>
      </w:pPr>
      <w:r w:rsidRPr="00026032">
        <w:rPr>
          <w:rFonts w:ascii="Arial" w:hAnsi="Arial" w:cs="Arial"/>
          <w:sz w:val="22"/>
        </w:rPr>
        <w:t>9)</w:t>
      </w:r>
      <w:r w:rsidRPr="00026032">
        <w:rPr>
          <w:rFonts w:ascii="Arial" w:hAnsi="Arial" w:cs="Arial"/>
          <w:color w:val="000000"/>
          <w:sz w:val="22"/>
        </w:rPr>
        <w:t xml:space="preserve"> </w:t>
      </w:r>
      <w:r w:rsidRPr="00026032">
        <w:rPr>
          <w:rFonts w:ascii="Arial" w:hAnsi="Arial" w:cs="Arial"/>
          <w:sz w:val="22"/>
        </w:rPr>
        <w:t xml:space="preserve">Registration of Managed Move pupils  </w:t>
      </w:r>
    </w:p>
    <w:p w14:paraId="3AAFC992" w14:textId="77777777" w:rsidR="000F4E84" w:rsidRPr="00026032" w:rsidRDefault="00B51D06">
      <w:pPr>
        <w:spacing w:after="0"/>
        <w:ind w:left="2"/>
        <w:rPr>
          <w:rFonts w:ascii="Arial" w:hAnsi="Arial" w:cs="Arial"/>
        </w:rPr>
      </w:pPr>
      <w:r w:rsidRPr="00026032">
        <w:rPr>
          <w:rFonts w:ascii="Arial" w:hAnsi="Arial" w:cs="Arial"/>
        </w:rPr>
        <w:t xml:space="preserve"> </w:t>
      </w:r>
    </w:p>
    <w:p w14:paraId="04D4C3B4" w14:textId="77777777" w:rsidR="000F4E84" w:rsidRPr="00026032" w:rsidRDefault="00B51D06">
      <w:pPr>
        <w:spacing w:after="1" w:line="228" w:lineRule="auto"/>
        <w:ind w:left="732" w:hanging="10"/>
        <w:rPr>
          <w:rFonts w:ascii="Arial" w:hAnsi="Arial" w:cs="Arial"/>
        </w:rPr>
      </w:pPr>
      <w:r w:rsidRPr="00026032">
        <w:rPr>
          <w:rFonts w:ascii="Arial" w:hAnsi="Arial" w:cs="Arial"/>
          <w:color w:val="181717"/>
        </w:rPr>
        <w:t xml:space="preserve">If a child is subject to a Managed Move, they must be registered as follows:  </w:t>
      </w:r>
    </w:p>
    <w:p w14:paraId="716485D0" w14:textId="77777777" w:rsidR="000F4E84" w:rsidRPr="00026032" w:rsidRDefault="00B51D06">
      <w:pPr>
        <w:spacing w:after="0"/>
        <w:ind w:left="722"/>
        <w:rPr>
          <w:rFonts w:ascii="Arial" w:hAnsi="Arial" w:cs="Arial"/>
        </w:rPr>
      </w:pPr>
      <w:r w:rsidRPr="00026032">
        <w:rPr>
          <w:rFonts w:ascii="Arial" w:hAnsi="Arial" w:cs="Arial"/>
        </w:rPr>
        <w:t xml:space="preserve"> </w:t>
      </w:r>
    </w:p>
    <w:p w14:paraId="386E69F5" w14:textId="77777777" w:rsidR="000F4E84" w:rsidRPr="00026032" w:rsidRDefault="00B51D06">
      <w:pPr>
        <w:numPr>
          <w:ilvl w:val="0"/>
          <w:numId w:val="8"/>
        </w:numPr>
        <w:spacing w:after="85" w:line="228" w:lineRule="auto"/>
        <w:ind w:hanging="360"/>
        <w:rPr>
          <w:rFonts w:ascii="Arial" w:hAnsi="Arial" w:cs="Arial"/>
        </w:rPr>
      </w:pPr>
      <w:r w:rsidRPr="00026032">
        <w:rPr>
          <w:rFonts w:ascii="Arial" w:hAnsi="Arial" w:cs="Arial"/>
          <w:color w:val="181717"/>
        </w:rPr>
        <w:t>If</w:t>
      </w:r>
      <w:r w:rsidRPr="00026032">
        <w:rPr>
          <w:rFonts w:ascii="Arial" w:hAnsi="Arial" w:cs="Arial"/>
          <w:color w:val="181717"/>
        </w:rPr>
        <w:t xml:space="preserve"> the child is on the </w:t>
      </w:r>
      <w:proofErr w:type="spellStart"/>
      <w:r w:rsidRPr="00026032">
        <w:rPr>
          <w:rFonts w:ascii="Arial" w:hAnsi="Arial" w:cs="Arial"/>
          <w:color w:val="181717"/>
        </w:rPr>
        <w:t>roll</w:t>
      </w:r>
      <w:proofErr w:type="spellEnd"/>
      <w:r w:rsidRPr="00026032">
        <w:rPr>
          <w:rFonts w:ascii="Arial" w:hAnsi="Arial" w:cs="Arial"/>
          <w:color w:val="181717"/>
        </w:rPr>
        <w:t xml:space="preserve"> of school A, an agreement is made that they will attend school B for 6 weeks.  </w:t>
      </w:r>
    </w:p>
    <w:p w14:paraId="7EE3BD55" w14:textId="77777777" w:rsidR="000F4E84" w:rsidRPr="00026032" w:rsidRDefault="00B51D06">
      <w:pPr>
        <w:numPr>
          <w:ilvl w:val="0"/>
          <w:numId w:val="8"/>
        </w:numPr>
        <w:spacing w:after="85" w:line="228" w:lineRule="auto"/>
        <w:ind w:hanging="360"/>
        <w:rPr>
          <w:rFonts w:ascii="Arial" w:hAnsi="Arial" w:cs="Arial"/>
        </w:rPr>
      </w:pPr>
      <w:r w:rsidRPr="00026032">
        <w:rPr>
          <w:rFonts w:ascii="Arial" w:hAnsi="Arial" w:cs="Arial"/>
          <w:color w:val="181717"/>
        </w:rPr>
        <w:t xml:space="preserve">School A is the main base, record the child as dual registered, and mark the register as D  </w:t>
      </w:r>
    </w:p>
    <w:p w14:paraId="01E36436" w14:textId="77777777" w:rsidR="000F4E84" w:rsidRPr="00026032" w:rsidRDefault="00B51D06">
      <w:pPr>
        <w:numPr>
          <w:ilvl w:val="0"/>
          <w:numId w:val="8"/>
        </w:numPr>
        <w:spacing w:after="85" w:line="228" w:lineRule="auto"/>
        <w:ind w:hanging="360"/>
        <w:rPr>
          <w:rFonts w:ascii="Arial" w:hAnsi="Arial" w:cs="Arial"/>
        </w:rPr>
      </w:pPr>
      <w:r w:rsidRPr="00026032">
        <w:rPr>
          <w:rFonts w:ascii="Arial" w:hAnsi="Arial" w:cs="Arial"/>
          <w:color w:val="181717"/>
        </w:rPr>
        <w:t>School B is the subsidiary base, record the child as dual</w:t>
      </w:r>
      <w:r w:rsidRPr="00026032">
        <w:rPr>
          <w:rFonts w:ascii="Arial" w:hAnsi="Arial" w:cs="Arial"/>
          <w:color w:val="181717"/>
        </w:rPr>
        <w:t xml:space="preserve"> registered, and mark the register according to </w:t>
      </w:r>
      <w:proofErr w:type="gramStart"/>
      <w:r w:rsidRPr="00026032">
        <w:rPr>
          <w:rFonts w:ascii="Arial" w:hAnsi="Arial" w:cs="Arial"/>
          <w:color w:val="181717"/>
        </w:rPr>
        <w:t>whether or not</w:t>
      </w:r>
      <w:proofErr w:type="gramEnd"/>
      <w:r w:rsidRPr="00026032">
        <w:rPr>
          <w:rFonts w:ascii="Arial" w:hAnsi="Arial" w:cs="Arial"/>
          <w:color w:val="181717"/>
        </w:rPr>
        <w:t xml:space="preserve"> the child attends.  </w:t>
      </w:r>
    </w:p>
    <w:p w14:paraId="0B8828B0" w14:textId="18AD5085" w:rsidR="000F4E84" w:rsidRPr="00026032" w:rsidRDefault="00B51D06">
      <w:pPr>
        <w:numPr>
          <w:ilvl w:val="0"/>
          <w:numId w:val="8"/>
        </w:numPr>
        <w:spacing w:after="1" w:line="228" w:lineRule="auto"/>
        <w:ind w:hanging="360"/>
        <w:rPr>
          <w:rFonts w:ascii="Arial" w:hAnsi="Arial" w:cs="Arial"/>
        </w:rPr>
      </w:pPr>
      <w:r w:rsidRPr="00026032">
        <w:rPr>
          <w:rFonts w:ascii="Arial" w:hAnsi="Arial" w:cs="Arial"/>
          <w:color w:val="181717"/>
        </w:rPr>
        <w:t xml:space="preserve">If the Managed Move is successful, the child comes off the roll of School A, and is shown as single registered on the </w:t>
      </w:r>
      <w:proofErr w:type="spellStart"/>
      <w:r w:rsidRPr="00026032">
        <w:rPr>
          <w:rFonts w:ascii="Arial" w:hAnsi="Arial" w:cs="Arial"/>
          <w:color w:val="181717"/>
        </w:rPr>
        <w:t>roll</w:t>
      </w:r>
      <w:proofErr w:type="spellEnd"/>
      <w:r w:rsidRPr="00026032">
        <w:rPr>
          <w:rFonts w:ascii="Arial" w:hAnsi="Arial" w:cs="Arial"/>
          <w:color w:val="181717"/>
        </w:rPr>
        <w:t xml:space="preserve"> of school B.</w:t>
      </w:r>
      <w:r w:rsidRPr="00026032">
        <w:rPr>
          <w:rFonts w:ascii="Arial" w:hAnsi="Arial" w:cs="Arial"/>
        </w:rPr>
        <w:t xml:space="preserve">  </w:t>
      </w:r>
    </w:p>
    <w:p w14:paraId="4BF6B9BC" w14:textId="77777777" w:rsidR="0007596F" w:rsidRPr="00026032" w:rsidRDefault="0007596F" w:rsidP="0007596F">
      <w:pPr>
        <w:spacing w:after="1" w:line="228" w:lineRule="auto"/>
        <w:rPr>
          <w:rFonts w:ascii="Arial" w:hAnsi="Arial" w:cs="Arial"/>
        </w:rPr>
      </w:pPr>
    </w:p>
    <w:p w14:paraId="018D9CD8" w14:textId="77777777" w:rsidR="000F4E84" w:rsidRPr="00026032" w:rsidRDefault="00B51D06">
      <w:pPr>
        <w:spacing w:after="0"/>
        <w:ind w:left="2"/>
        <w:rPr>
          <w:rFonts w:ascii="Arial" w:hAnsi="Arial" w:cs="Arial"/>
        </w:rPr>
      </w:pPr>
      <w:r w:rsidRPr="00026032">
        <w:rPr>
          <w:rFonts w:ascii="Arial" w:hAnsi="Arial" w:cs="Arial"/>
        </w:rPr>
        <w:t xml:space="preserve"> </w:t>
      </w:r>
    </w:p>
    <w:p w14:paraId="30C6B7B8" w14:textId="200A42BF" w:rsidR="000F4E84" w:rsidRPr="00026032" w:rsidRDefault="00B51D06">
      <w:pPr>
        <w:pStyle w:val="Heading1"/>
        <w:ind w:left="357"/>
        <w:rPr>
          <w:rFonts w:ascii="Arial" w:hAnsi="Arial" w:cs="Arial"/>
          <w:sz w:val="22"/>
        </w:rPr>
      </w:pPr>
      <w:r w:rsidRPr="00026032">
        <w:rPr>
          <w:rFonts w:ascii="Arial" w:hAnsi="Arial" w:cs="Arial"/>
          <w:sz w:val="22"/>
        </w:rPr>
        <w:t>10)</w:t>
      </w:r>
      <w:r w:rsidR="001023A4" w:rsidRPr="00026032">
        <w:rPr>
          <w:rFonts w:ascii="Arial" w:hAnsi="Arial" w:cs="Arial"/>
          <w:sz w:val="22"/>
        </w:rPr>
        <w:t xml:space="preserve"> </w:t>
      </w:r>
      <w:r w:rsidRPr="00026032">
        <w:rPr>
          <w:rFonts w:ascii="Arial" w:hAnsi="Arial" w:cs="Arial"/>
          <w:sz w:val="22"/>
        </w:rPr>
        <w:t xml:space="preserve">Monitoring </w:t>
      </w:r>
      <w:r w:rsidRPr="00026032">
        <w:rPr>
          <w:rFonts w:ascii="Arial" w:hAnsi="Arial" w:cs="Arial"/>
          <w:color w:val="000000"/>
          <w:sz w:val="22"/>
        </w:rPr>
        <w:t xml:space="preserve"> </w:t>
      </w:r>
    </w:p>
    <w:p w14:paraId="5282CD56" w14:textId="77777777" w:rsidR="000F4E84" w:rsidRPr="00026032" w:rsidRDefault="00B51D06">
      <w:pPr>
        <w:spacing w:after="0"/>
        <w:ind w:left="2"/>
        <w:rPr>
          <w:rFonts w:ascii="Arial" w:hAnsi="Arial" w:cs="Arial"/>
        </w:rPr>
      </w:pPr>
      <w:r w:rsidRPr="00026032">
        <w:rPr>
          <w:rFonts w:ascii="Arial" w:hAnsi="Arial" w:cs="Arial"/>
        </w:rPr>
        <w:t xml:space="preserve"> </w:t>
      </w:r>
    </w:p>
    <w:p w14:paraId="7F0C433A" w14:textId="77777777" w:rsidR="000F4E84" w:rsidRPr="00026032" w:rsidRDefault="00B51D06">
      <w:pPr>
        <w:spacing w:after="1" w:line="228" w:lineRule="auto"/>
        <w:ind w:left="-3" w:hanging="10"/>
        <w:rPr>
          <w:rFonts w:ascii="Arial" w:hAnsi="Arial" w:cs="Arial"/>
        </w:rPr>
      </w:pPr>
      <w:r w:rsidRPr="00026032">
        <w:rPr>
          <w:rFonts w:ascii="Arial" w:hAnsi="Arial" w:cs="Arial"/>
          <w:color w:val="181717"/>
        </w:rPr>
        <w:t>A member of th</w:t>
      </w:r>
      <w:r w:rsidRPr="00026032">
        <w:rPr>
          <w:rFonts w:ascii="Arial" w:hAnsi="Arial" w:cs="Arial"/>
          <w:color w:val="181717"/>
        </w:rPr>
        <w:t>e receiving school staff should meet the child regularly to review his progress towards the Managed Move targets. This gives the child the chance to identify what has gone well and how to replicate success. During the Managed Move the receiving school will</w:t>
      </w:r>
      <w:r w:rsidRPr="00026032">
        <w:rPr>
          <w:rFonts w:ascii="Arial" w:hAnsi="Arial" w:cs="Arial"/>
          <w:color w:val="181717"/>
        </w:rPr>
        <w:t xml:space="preserve"> also provide the home school with a weekly record</w:t>
      </w:r>
      <w:r w:rsidRPr="00026032">
        <w:rPr>
          <w:rFonts w:ascii="Arial" w:hAnsi="Arial" w:cs="Arial"/>
        </w:rPr>
        <w:t xml:space="preserve"> </w:t>
      </w:r>
      <w:r w:rsidRPr="00026032">
        <w:rPr>
          <w:rFonts w:ascii="Arial" w:hAnsi="Arial" w:cs="Arial"/>
          <w:color w:val="181717"/>
        </w:rPr>
        <w:t>of the child’s attendance. The key people who attended the original meeting should be invited to a 6-week review meeting as a minimum.</w:t>
      </w:r>
      <w:r w:rsidRPr="00026032">
        <w:rPr>
          <w:rFonts w:ascii="Arial" w:hAnsi="Arial" w:cs="Arial"/>
        </w:rPr>
        <w:t xml:space="preserve"> </w:t>
      </w:r>
    </w:p>
    <w:p w14:paraId="147C0EA5" w14:textId="77777777" w:rsidR="000F4E84" w:rsidRPr="00026032" w:rsidRDefault="00B51D06">
      <w:pPr>
        <w:spacing w:after="0"/>
        <w:ind w:left="2"/>
        <w:rPr>
          <w:rFonts w:ascii="Arial" w:hAnsi="Arial" w:cs="Arial"/>
        </w:rPr>
      </w:pPr>
      <w:r w:rsidRPr="00026032">
        <w:rPr>
          <w:rFonts w:ascii="Arial" w:hAnsi="Arial" w:cs="Arial"/>
        </w:rPr>
        <w:t xml:space="preserve"> </w:t>
      </w:r>
    </w:p>
    <w:p w14:paraId="764A8C1B" w14:textId="514044EC" w:rsidR="000F4E84" w:rsidRPr="00026032" w:rsidRDefault="00B51D06">
      <w:pPr>
        <w:pStyle w:val="Heading1"/>
        <w:ind w:left="357"/>
        <w:rPr>
          <w:rFonts w:ascii="Arial" w:hAnsi="Arial" w:cs="Arial"/>
          <w:sz w:val="22"/>
        </w:rPr>
      </w:pPr>
      <w:r w:rsidRPr="00026032">
        <w:rPr>
          <w:rFonts w:ascii="Arial" w:hAnsi="Arial" w:cs="Arial"/>
          <w:sz w:val="22"/>
        </w:rPr>
        <w:t>11)</w:t>
      </w:r>
      <w:r w:rsidR="001023A4" w:rsidRPr="00026032">
        <w:rPr>
          <w:rFonts w:ascii="Arial" w:hAnsi="Arial" w:cs="Arial"/>
          <w:sz w:val="22"/>
        </w:rPr>
        <w:t xml:space="preserve"> </w:t>
      </w:r>
      <w:r w:rsidRPr="00026032">
        <w:rPr>
          <w:rFonts w:ascii="Arial" w:hAnsi="Arial" w:cs="Arial"/>
          <w:sz w:val="22"/>
        </w:rPr>
        <w:t xml:space="preserve">End of managed move period </w:t>
      </w:r>
    </w:p>
    <w:p w14:paraId="24EDE28B" w14:textId="77777777" w:rsidR="000F4E84" w:rsidRPr="00026032" w:rsidRDefault="00B51D06">
      <w:pPr>
        <w:spacing w:after="0"/>
        <w:ind w:left="2"/>
        <w:rPr>
          <w:rFonts w:ascii="Arial" w:hAnsi="Arial" w:cs="Arial"/>
        </w:rPr>
      </w:pPr>
      <w:r w:rsidRPr="00026032">
        <w:rPr>
          <w:rFonts w:ascii="Arial" w:hAnsi="Arial" w:cs="Arial"/>
        </w:rPr>
        <w:t xml:space="preserve"> </w:t>
      </w:r>
    </w:p>
    <w:p w14:paraId="47A01171" w14:textId="2E4B4546" w:rsidR="001023A4" w:rsidRPr="00026032" w:rsidRDefault="00B51D06">
      <w:pPr>
        <w:spacing w:after="1" w:line="228" w:lineRule="auto"/>
        <w:ind w:left="-3" w:hanging="10"/>
        <w:rPr>
          <w:rFonts w:ascii="Arial" w:hAnsi="Arial" w:cs="Arial"/>
          <w:color w:val="181717"/>
        </w:rPr>
      </w:pPr>
      <w:r w:rsidRPr="00026032">
        <w:rPr>
          <w:rFonts w:ascii="Arial" w:hAnsi="Arial" w:cs="Arial"/>
          <w:color w:val="181717"/>
        </w:rPr>
        <w:t>At the final review meeting, a decision must be made as to whether the child</w:t>
      </w:r>
      <w:r w:rsidRPr="00026032">
        <w:rPr>
          <w:rFonts w:ascii="Arial" w:hAnsi="Arial" w:cs="Arial"/>
        </w:rPr>
        <w:t xml:space="preserve"> </w:t>
      </w:r>
      <w:r w:rsidRPr="00026032">
        <w:rPr>
          <w:rFonts w:ascii="Arial" w:hAnsi="Arial" w:cs="Arial"/>
          <w:color w:val="181717"/>
        </w:rPr>
        <w:t>transfers permanently to the receiving school or returns to the original school.</w:t>
      </w:r>
      <w:r w:rsidRPr="00026032">
        <w:rPr>
          <w:rFonts w:ascii="Arial" w:hAnsi="Arial" w:cs="Arial"/>
        </w:rPr>
        <w:t xml:space="preserve"> </w:t>
      </w:r>
      <w:r w:rsidRPr="00026032">
        <w:rPr>
          <w:rFonts w:ascii="Arial" w:hAnsi="Arial" w:cs="Arial"/>
          <w:color w:val="181717"/>
        </w:rPr>
        <w:t>The decision must be reasonable, in line with the original targets set for the student at the outs</w:t>
      </w:r>
      <w:r w:rsidRPr="00026032">
        <w:rPr>
          <w:rFonts w:ascii="Arial" w:hAnsi="Arial" w:cs="Arial"/>
          <w:color w:val="181717"/>
        </w:rPr>
        <w:t>et of the trial and any review meetings held during the period.  On the agreed date, if the managed move has been deemed successful, the child’s name must be deleted from the admission register of the original school and shown as single registered on the a</w:t>
      </w:r>
      <w:r w:rsidRPr="00026032">
        <w:rPr>
          <w:rFonts w:ascii="Arial" w:hAnsi="Arial" w:cs="Arial"/>
          <w:color w:val="181717"/>
        </w:rPr>
        <w:t xml:space="preserve">dmission register of the receiving school.  </w:t>
      </w:r>
    </w:p>
    <w:p w14:paraId="785E23D5" w14:textId="77777777" w:rsidR="001023A4" w:rsidRPr="00026032" w:rsidRDefault="001023A4">
      <w:pPr>
        <w:spacing w:after="1" w:line="228" w:lineRule="auto"/>
        <w:ind w:left="-3" w:hanging="10"/>
        <w:rPr>
          <w:rFonts w:ascii="Arial" w:hAnsi="Arial" w:cs="Arial"/>
          <w:color w:val="181717"/>
        </w:rPr>
      </w:pPr>
    </w:p>
    <w:p w14:paraId="4589CF1E" w14:textId="77777777" w:rsidR="001023A4" w:rsidRPr="00026032" w:rsidRDefault="001023A4">
      <w:pPr>
        <w:spacing w:after="1" w:line="228" w:lineRule="auto"/>
        <w:ind w:left="-3" w:hanging="10"/>
        <w:rPr>
          <w:rFonts w:ascii="Arial" w:hAnsi="Arial" w:cs="Arial"/>
          <w:color w:val="181717"/>
        </w:rPr>
      </w:pPr>
    </w:p>
    <w:p w14:paraId="5518B65A" w14:textId="29A10114" w:rsidR="000F4E84" w:rsidRPr="00026032" w:rsidRDefault="00B51D06">
      <w:pPr>
        <w:spacing w:after="1" w:line="228" w:lineRule="auto"/>
        <w:ind w:left="-3" w:hanging="10"/>
        <w:rPr>
          <w:rFonts w:ascii="Arial" w:hAnsi="Arial" w:cs="Arial"/>
        </w:rPr>
      </w:pPr>
      <w:r w:rsidRPr="00026032">
        <w:rPr>
          <w:rFonts w:ascii="Arial" w:hAnsi="Arial" w:cs="Arial"/>
          <w:b/>
          <w:color w:val="181717"/>
        </w:rPr>
        <w:t>12)</w:t>
      </w:r>
      <w:r w:rsidR="001023A4" w:rsidRPr="00026032">
        <w:rPr>
          <w:rFonts w:ascii="Arial" w:hAnsi="Arial" w:cs="Arial"/>
          <w:b/>
          <w:color w:val="181717"/>
        </w:rPr>
        <w:t xml:space="preserve"> </w:t>
      </w:r>
      <w:r w:rsidRPr="00026032">
        <w:rPr>
          <w:rFonts w:ascii="Arial" w:hAnsi="Arial" w:cs="Arial"/>
          <w:b/>
          <w:color w:val="181717"/>
        </w:rPr>
        <w:t>Ending a managed move early</w:t>
      </w:r>
      <w:r w:rsidRPr="00026032">
        <w:rPr>
          <w:rFonts w:ascii="Arial" w:hAnsi="Arial" w:cs="Arial"/>
          <w:b/>
        </w:rPr>
        <w:t xml:space="preserve"> </w:t>
      </w:r>
    </w:p>
    <w:p w14:paraId="30187BF4" w14:textId="77777777" w:rsidR="000F4E84" w:rsidRPr="00026032" w:rsidRDefault="00B51D06">
      <w:pPr>
        <w:spacing w:after="0"/>
        <w:ind w:left="2"/>
        <w:rPr>
          <w:rFonts w:ascii="Arial" w:hAnsi="Arial" w:cs="Arial"/>
        </w:rPr>
      </w:pPr>
      <w:r w:rsidRPr="00026032">
        <w:rPr>
          <w:rFonts w:ascii="Arial" w:hAnsi="Arial" w:cs="Arial"/>
          <w:b/>
        </w:rPr>
        <w:t xml:space="preserve"> </w:t>
      </w:r>
      <w:r w:rsidRPr="00026032">
        <w:rPr>
          <w:rFonts w:ascii="Arial" w:hAnsi="Arial" w:cs="Arial"/>
        </w:rPr>
        <w:t xml:space="preserve"> </w:t>
      </w:r>
    </w:p>
    <w:p w14:paraId="365810A4" w14:textId="77777777" w:rsidR="000F4E84" w:rsidRPr="00026032" w:rsidRDefault="00B51D06">
      <w:pPr>
        <w:spacing w:after="1" w:line="226" w:lineRule="auto"/>
        <w:ind w:left="-2" w:hanging="10"/>
        <w:rPr>
          <w:rFonts w:ascii="Arial" w:hAnsi="Arial" w:cs="Arial"/>
        </w:rPr>
      </w:pPr>
      <w:r w:rsidRPr="00026032">
        <w:rPr>
          <w:rFonts w:ascii="Arial" w:hAnsi="Arial" w:cs="Arial"/>
          <w:color w:val="181717"/>
        </w:rPr>
        <w:t>In exceptional circumstances (usually because of significant behaviour problems) the receiving school may wish to end the arrangement before the managed move</w:t>
      </w:r>
      <w:r w:rsidRPr="00026032">
        <w:rPr>
          <w:rFonts w:ascii="Arial" w:hAnsi="Arial" w:cs="Arial"/>
        </w:rPr>
        <w:t xml:space="preserve"> </w:t>
      </w:r>
      <w:r w:rsidRPr="00026032">
        <w:rPr>
          <w:rFonts w:ascii="Arial" w:hAnsi="Arial" w:cs="Arial"/>
          <w:color w:val="181717"/>
        </w:rPr>
        <w:t>is completed. If so</w:t>
      </w:r>
      <w:r w:rsidRPr="00026032">
        <w:rPr>
          <w:rFonts w:ascii="Arial" w:hAnsi="Arial" w:cs="Arial"/>
          <w:color w:val="181717"/>
        </w:rPr>
        <w:t xml:space="preserve">, the receiving school’s headteacher should consult with the original headteacher before confirming this in writing to the parents, specifying the date from which the pupil must return to the original school.  </w:t>
      </w:r>
    </w:p>
    <w:p w14:paraId="6B83249D" w14:textId="77777777" w:rsidR="000F4E84" w:rsidRPr="00026032" w:rsidRDefault="00B51D06">
      <w:pPr>
        <w:spacing w:after="0"/>
        <w:ind w:left="2"/>
        <w:rPr>
          <w:rFonts w:ascii="Arial" w:hAnsi="Arial" w:cs="Arial"/>
        </w:rPr>
      </w:pPr>
      <w:r w:rsidRPr="00026032">
        <w:rPr>
          <w:rFonts w:ascii="Arial" w:hAnsi="Arial" w:cs="Arial"/>
        </w:rPr>
        <w:t xml:space="preserve"> </w:t>
      </w:r>
    </w:p>
    <w:p w14:paraId="21208E5A" w14:textId="77777777" w:rsidR="000F4E84" w:rsidRPr="00026032" w:rsidRDefault="00B51D06">
      <w:pPr>
        <w:spacing w:after="0"/>
        <w:ind w:left="12" w:hanging="10"/>
        <w:rPr>
          <w:rFonts w:ascii="Arial" w:hAnsi="Arial" w:cs="Arial"/>
        </w:rPr>
      </w:pPr>
      <w:r w:rsidRPr="00026032">
        <w:rPr>
          <w:rFonts w:ascii="Arial" w:hAnsi="Arial" w:cs="Arial"/>
          <w:b/>
          <w:color w:val="181717"/>
        </w:rPr>
        <w:t>When a managed move is not successful and i</w:t>
      </w:r>
      <w:r w:rsidRPr="00026032">
        <w:rPr>
          <w:rFonts w:ascii="Arial" w:hAnsi="Arial" w:cs="Arial"/>
          <w:b/>
          <w:color w:val="181717"/>
        </w:rPr>
        <w:t xml:space="preserve">s terminated, the parent should never be left unclear about where the child is expected to attend because of poor communication. This lack of clarity can amount to unlawful exclusion.  </w:t>
      </w:r>
    </w:p>
    <w:p w14:paraId="7901DB26" w14:textId="77777777" w:rsidR="000F4E84" w:rsidRPr="00026032" w:rsidRDefault="00B51D06">
      <w:pPr>
        <w:spacing w:after="0"/>
        <w:ind w:left="2"/>
        <w:rPr>
          <w:rFonts w:ascii="Arial" w:hAnsi="Arial" w:cs="Arial"/>
        </w:rPr>
      </w:pPr>
      <w:r w:rsidRPr="00026032">
        <w:rPr>
          <w:rFonts w:ascii="Arial" w:hAnsi="Arial" w:cs="Arial"/>
        </w:rPr>
        <w:t xml:space="preserve"> </w:t>
      </w:r>
    </w:p>
    <w:p w14:paraId="57413372" w14:textId="20B332F6" w:rsidR="000F4E84" w:rsidRPr="00026032" w:rsidRDefault="00B51D06">
      <w:pPr>
        <w:spacing w:after="0"/>
        <w:ind w:left="358" w:hanging="10"/>
        <w:rPr>
          <w:rFonts w:ascii="Arial" w:hAnsi="Arial" w:cs="Arial"/>
        </w:rPr>
      </w:pPr>
      <w:r w:rsidRPr="00026032">
        <w:rPr>
          <w:rFonts w:ascii="Arial" w:hAnsi="Arial" w:cs="Arial"/>
          <w:b/>
          <w:color w:val="181717"/>
        </w:rPr>
        <w:t>13)</w:t>
      </w:r>
      <w:r w:rsidR="001023A4" w:rsidRPr="00026032">
        <w:rPr>
          <w:rFonts w:ascii="Arial" w:hAnsi="Arial" w:cs="Arial"/>
          <w:b/>
          <w:color w:val="181717"/>
        </w:rPr>
        <w:t xml:space="preserve"> </w:t>
      </w:r>
      <w:r w:rsidRPr="00026032">
        <w:rPr>
          <w:rFonts w:ascii="Arial" w:hAnsi="Arial" w:cs="Arial"/>
          <w:b/>
          <w:color w:val="181717"/>
        </w:rPr>
        <w:t xml:space="preserve">Notifying the LA </w:t>
      </w:r>
    </w:p>
    <w:p w14:paraId="7B5F72F4" w14:textId="77777777" w:rsidR="000F4E84" w:rsidRPr="00026032" w:rsidRDefault="00B51D06">
      <w:pPr>
        <w:spacing w:after="0"/>
        <w:ind w:left="2"/>
        <w:rPr>
          <w:rFonts w:ascii="Arial" w:hAnsi="Arial" w:cs="Arial"/>
        </w:rPr>
      </w:pPr>
      <w:r w:rsidRPr="00026032">
        <w:rPr>
          <w:rFonts w:ascii="Arial" w:hAnsi="Arial" w:cs="Arial"/>
          <w:b/>
        </w:rPr>
        <w:t xml:space="preserve"> </w:t>
      </w:r>
      <w:r w:rsidRPr="00026032">
        <w:rPr>
          <w:rFonts w:ascii="Arial" w:hAnsi="Arial" w:cs="Arial"/>
        </w:rPr>
        <w:t xml:space="preserve"> </w:t>
      </w:r>
    </w:p>
    <w:p w14:paraId="17C9F2FA" w14:textId="49D083F1" w:rsidR="000F4E84" w:rsidRPr="00026032" w:rsidRDefault="00B51D06">
      <w:pPr>
        <w:spacing w:after="1" w:line="226" w:lineRule="auto"/>
        <w:ind w:left="-2" w:hanging="10"/>
        <w:rPr>
          <w:rFonts w:ascii="Arial" w:hAnsi="Arial" w:cs="Arial"/>
        </w:rPr>
      </w:pPr>
      <w:r w:rsidRPr="00026032">
        <w:rPr>
          <w:rFonts w:ascii="Arial" w:hAnsi="Arial" w:cs="Arial"/>
          <w:color w:val="181717"/>
        </w:rPr>
        <w:t>The Local Authority should be notified of ev</w:t>
      </w:r>
      <w:r w:rsidRPr="00026032">
        <w:rPr>
          <w:rFonts w:ascii="Arial" w:hAnsi="Arial" w:cs="Arial"/>
          <w:color w:val="181717"/>
        </w:rPr>
        <w:t>ery managed move and its outcome</w:t>
      </w:r>
      <w:r w:rsidRPr="00026032">
        <w:rPr>
          <w:rFonts w:ascii="Arial" w:hAnsi="Arial" w:cs="Arial"/>
        </w:rPr>
        <w:t xml:space="preserve"> </w:t>
      </w:r>
      <w:r w:rsidRPr="00026032">
        <w:rPr>
          <w:rFonts w:ascii="Arial" w:hAnsi="Arial" w:cs="Arial"/>
          <w:color w:val="181717"/>
        </w:rPr>
        <w:t xml:space="preserve">so that records can be </w:t>
      </w:r>
      <w:r w:rsidR="001023A4" w:rsidRPr="00026032">
        <w:rPr>
          <w:rFonts w:ascii="Arial" w:hAnsi="Arial" w:cs="Arial"/>
          <w:color w:val="181717"/>
        </w:rPr>
        <w:t>updated,</w:t>
      </w:r>
      <w:r w:rsidRPr="00026032">
        <w:rPr>
          <w:rFonts w:ascii="Arial" w:hAnsi="Arial" w:cs="Arial"/>
          <w:color w:val="181717"/>
        </w:rPr>
        <w:t xml:space="preserve"> and composite data collated. This should be done by copying the Head of Admissions/ACE into the managed move referral form (proforma attached). </w:t>
      </w:r>
    </w:p>
    <w:p w14:paraId="397B2FDF" w14:textId="77777777" w:rsidR="000F4E84" w:rsidRPr="00026032" w:rsidRDefault="00B51D06">
      <w:pPr>
        <w:spacing w:after="0"/>
        <w:ind w:left="2"/>
        <w:rPr>
          <w:rFonts w:ascii="Arial" w:hAnsi="Arial" w:cs="Arial"/>
        </w:rPr>
      </w:pPr>
      <w:r w:rsidRPr="00026032">
        <w:rPr>
          <w:rFonts w:ascii="Arial" w:hAnsi="Arial" w:cs="Arial"/>
        </w:rPr>
        <w:t xml:space="preserve"> </w:t>
      </w:r>
    </w:p>
    <w:p w14:paraId="45E849B0" w14:textId="15B6C0EA" w:rsidR="000F4E84" w:rsidRPr="00026032" w:rsidRDefault="00B51D06">
      <w:pPr>
        <w:spacing w:after="0"/>
        <w:ind w:left="358" w:hanging="10"/>
        <w:rPr>
          <w:rFonts w:ascii="Arial" w:hAnsi="Arial" w:cs="Arial"/>
        </w:rPr>
      </w:pPr>
      <w:r w:rsidRPr="00026032">
        <w:rPr>
          <w:rFonts w:ascii="Arial" w:hAnsi="Arial" w:cs="Arial"/>
          <w:b/>
          <w:color w:val="181717"/>
        </w:rPr>
        <w:t>14)</w:t>
      </w:r>
      <w:r w:rsidR="001023A4" w:rsidRPr="00026032">
        <w:rPr>
          <w:rFonts w:ascii="Arial" w:hAnsi="Arial" w:cs="Arial"/>
          <w:b/>
          <w:color w:val="181717"/>
        </w:rPr>
        <w:t xml:space="preserve"> </w:t>
      </w:r>
      <w:r w:rsidRPr="00026032">
        <w:rPr>
          <w:rFonts w:ascii="Arial" w:hAnsi="Arial" w:cs="Arial"/>
          <w:b/>
          <w:color w:val="181717"/>
        </w:rPr>
        <w:t>Funding</w:t>
      </w:r>
      <w:r w:rsidRPr="00026032">
        <w:rPr>
          <w:rFonts w:ascii="Arial" w:hAnsi="Arial" w:cs="Arial"/>
          <w:b/>
        </w:rPr>
        <w:t xml:space="preserve"> </w:t>
      </w:r>
    </w:p>
    <w:p w14:paraId="7B5FD04E" w14:textId="77777777" w:rsidR="000F4E84" w:rsidRPr="00026032" w:rsidRDefault="00B51D06">
      <w:pPr>
        <w:spacing w:after="0"/>
        <w:ind w:left="3"/>
        <w:rPr>
          <w:rFonts w:ascii="Arial" w:hAnsi="Arial" w:cs="Arial"/>
        </w:rPr>
      </w:pPr>
      <w:r w:rsidRPr="00026032">
        <w:rPr>
          <w:rFonts w:ascii="Arial" w:hAnsi="Arial" w:cs="Arial"/>
          <w:b/>
        </w:rPr>
        <w:t xml:space="preserve"> </w:t>
      </w:r>
      <w:r w:rsidRPr="00026032">
        <w:rPr>
          <w:rFonts w:ascii="Arial" w:hAnsi="Arial" w:cs="Arial"/>
        </w:rPr>
        <w:t xml:space="preserve"> </w:t>
      </w:r>
    </w:p>
    <w:p w14:paraId="25C74BB4" w14:textId="77777777" w:rsidR="000F4E84" w:rsidRPr="00026032" w:rsidRDefault="00B51D06">
      <w:pPr>
        <w:spacing w:after="1" w:line="226" w:lineRule="auto"/>
        <w:ind w:left="-2" w:hanging="10"/>
        <w:rPr>
          <w:rFonts w:ascii="Arial" w:hAnsi="Arial" w:cs="Arial"/>
        </w:rPr>
      </w:pPr>
      <w:r w:rsidRPr="00026032">
        <w:rPr>
          <w:rFonts w:ascii="Arial" w:hAnsi="Arial" w:cs="Arial"/>
          <w:color w:val="181717"/>
        </w:rPr>
        <w:t xml:space="preserve">The Receiving School may wish </w:t>
      </w:r>
      <w:r w:rsidRPr="00026032">
        <w:rPr>
          <w:rFonts w:ascii="Arial" w:hAnsi="Arial" w:cs="Arial"/>
          <w:color w:val="181717"/>
        </w:rPr>
        <w:t>to negotiate the transfer of funding if the pupil is formally admitted. The appropriate amount would be the balance remaining of the AWPU according to agreed formula. Schools may want to negotiate the backdating of funds to the beginning of the trial perio</w:t>
      </w:r>
      <w:r w:rsidRPr="00026032">
        <w:rPr>
          <w:rFonts w:ascii="Arial" w:hAnsi="Arial" w:cs="Arial"/>
          <w:color w:val="181717"/>
        </w:rPr>
        <w:t xml:space="preserve">d. It would be appropriate to discuss funding arrangements before the start of the managed move.  </w:t>
      </w:r>
    </w:p>
    <w:p w14:paraId="69B00C88" w14:textId="77777777" w:rsidR="000F4E84" w:rsidRPr="00026032" w:rsidRDefault="00B51D06">
      <w:pPr>
        <w:spacing w:after="0"/>
        <w:ind w:left="3"/>
        <w:rPr>
          <w:rFonts w:ascii="Arial" w:hAnsi="Arial" w:cs="Arial"/>
        </w:rPr>
      </w:pPr>
      <w:r w:rsidRPr="00026032">
        <w:rPr>
          <w:rFonts w:ascii="Arial" w:hAnsi="Arial" w:cs="Arial"/>
        </w:rPr>
        <w:t xml:space="preserve"> </w:t>
      </w:r>
    </w:p>
    <w:p w14:paraId="44D4DF58" w14:textId="4C50E3EB" w:rsidR="000F4E84" w:rsidRPr="00026032" w:rsidRDefault="00B51D06">
      <w:pPr>
        <w:spacing w:after="0"/>
        <w:ind w:left="3"/>
        <w:rPr>
          <w:rFonts w:ascii="Arial" w:hAnsi="Arial" w:cs="Arial"/>
        </w:rPr>
      </w:pPr>
      <w:r w:rsidRPr="00026032">
        <w:rPr>
          <w:rFonts w:ascii="Arial" w:hAnsi="Arial" w:cs="Arial"/>
        </w:rPr>
        <w:t xml:space="preserve"> </w:t>
      </w:r>
      <w:r w:rsidRPr="00026032">
        <w:rPr>
          <w:rFonts w:ascii="Arial" w:hAnsi="Arial" w:cs="Arial"/>
        </w:rPr>
        <w:t xml:space="preserve"> </w:t>
      </w:r>
    </w:p>
    <w:p w14:paraId="3588FDD3" w14:textId="77777777" w:rsidR="000F4E84" w:rsidRPr="00026032" w:rsidRDefault="00B51D06">
      <w:pPr>
        <w:spacing w:after="0"/>
        <w:ind w:left="3"/>
        <w:rPr>
          <w:rFonts w:ascii="Arial" w:hAnsi="Arial" w:cs="Arial"/>
        </w:rPr>
      </w:pPr>
      <w:r w:rsidRPr="00026032">
        <w:rPr>
          <w:rFonts w:ascii="Arial" w:hAnsi="Arial" w:cs="Arial"/>
        </w:rPr>
        <w:t xml:space="preserve"> </w:t>
      </w:r>
    </w:p>
    <w:p w14:paraId="637E4CBC" w14:textId="77777777" w:rsidR="000F4E84" w:rsidRPr="00026032" w:rsidRDefault="00B51D06">
      <w:pPr>
        <w:spacing w:after="32" w:line="226" w:lineRule="auto"/>
        <w:ind w:left="-2" w:hanging="10"/>
      </w:pPr>
      <w:r w:rsidRPr="00026032">
        <w:rPr>
          <w:rFonts w:ascii="Arial" w:hAnsi="Arial" w:cs="Arial"/>
          <w:color w:val="181717"/>
        </w:rPr>
        <w:t>Elizabeth Spearman         June 2019 (amended October 2019 &amp; November 201</w:t>
      </w:r>
      <w:r w:rsidRPr="00026032">
        <w:rPr>
          <w:color w:val="181717"/>
        </w:rPr>
        <w:t xml:space="preserve">9) </w:t>
      </w:r>
    </w:p>
    <w:sectPr w:rsidR="000F4E84" w:rsidRPr="00026032">
      <w:footerReference w:type="even" r:id="rId7"/>
      <w:footerReference w:type="default" r:id="rId8"/>
      <w:footerReference w:type="first" r:id="rId9"/>
      <w:pgSz w:w="11906" w:h="16838"/>
      <w:pgMar w:top="1488" w:right="1809" w:bottom="1487" w:left="179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A96A" w14:textId="77777777" w:rsidR="00B51D06" w:rsidRDefault="00B51D06">
      <w:pPr>
        <w:spacing w:after="0" w:line="240" w:lineRule="auto"/>
      </w:pPr>
      <w:r>
        <w:separator/>
      </w:r>
    </w:p>
  </w:endnote>
  <w:endnote w:type="continuationSeparator" w:id="0">
    <w:p w14:paraId="6B7F7B1A" w14:textId="77777777" w:rsidR="00B51D06" w:rsidRDefault="00B5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5F61" w14:textId="77777777" w:rsidR="000F4E84" w:rsidRDefault="00B51D06">
    <w:pPr>
      <w:spacing w:after="0"/>
      <w:ind w:left="12"/>
      <w:jc w:val="center"/>
    </w:pPr>
    <w:r>
      <w:fldChar w:fldCharType="begin"/>
    </w:r>
    <w:r>
      <w:instrText xml:space="preserve"> PAGE   \* MERGEFORMAT </w:instrText>
    </w:r>
    <w:r>
      <w:fldChar w:fldCharType="separate"/>
    </w:r>
    <w:r>
      <w:rPr>
        <w:color w:val="181717"/>
        <w:sz w:val="24"/>
      </w:rPr>
      <w:t>1</w:t>
    </w:r>
    <w:r>
      <w:rPr>
        <w:color w:val="181717"/>
        <w:sz w:val="24"/>
      </w:rPr>
      <w:fldChar w:fldCharType="end"/>
    </w:r>
    <w:r>
      <w:rPr>
        <w:color w:val="181717"/>
        <w:sz w:val="24"/>
      </w:rPr>
      <w:t xml:space="preserve"> </w:t>
    </w:r>
  </w:p>
  <w:p w14:paraId="1A8AFCDC" w14:textId="77777777" w:rsidR="000F4E84" w:rsidRDefault="00B51D06">
    <w:pPr>
      <w:spacing w:after="0"/>
      <w:ind w:left="2"/>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B557" w14:textId="77777777" w:rsidR="000F4E84" w:rsidRDefault="00B51D06">
    <w:pPr>
      <w:spacing w:after="0"/>
      <w:ind w:left="12"/>
      <w:jc w:val="center"/>
    </w:pPr>
    <w:r>
      <w:fldChar w:fldCharType="begin"/>
    </w:r>
    <w:r>
      <w:instrText xml:space="preserve"> PAGE   \* MERGEFORMAT </w:instrText>
    </w:r>
    <w:r>
      <w:fldChar w:fldCharType="separate"/>
    </w:r>
    <w:r>
      <w:rPr>
        <w:color w:val="181717"/>
        <w:sz w:val="24"/>
      </w:rPr>
      <w:t>1</w:t>
    </w:r>
    <w:r>
      <w:rPr>
        <w:color w:val="181717"/>
        <w:sz w:val="24"/>
      </w:rPr>
      <w:fldChar w:fldCharType="end"/>
    </w:r>
    <w:r>
      <w:rPr>
        <w:color w:val="181717"/>
        <w:sz w:val="24"/>
      </w:rPr>
      <w:t xml:space="preserve"> </w:t>
    </w:r>
  </w:p>
  <w:p w14:paraId="5BBE97A1" w14:textId="77777777" w:rsidR="000F4E84" w:rsidRDefault="00B51D06">
    <w:pPr>
      <w:spacing w:after="0"/>
      <w:ind w:left="2"/>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1914" w14:textId="77777777" w:rsidR="000F4E84" w:rsidRDefault="00B51D06">
    <w:pPr>
      <w:spacing w:after="0"/>
      <w:ind w:left="12"/>
      <w:jc w:val="center"/>
    </w:pPr>
    <w:r>
      <w:fldChar w:fldCharType="begin"/>
    </w:r>
    <w:r>
      <w:instrText xml:space="preserve"> PAGE   \* MERGEFORMAT </w:instrText>
    </w:r>
    <w:r>
      <w:fldChar w:fldCharType="separate"/>
    </w:r>
    <w:r>
      <w:rPr>
        <w:color w:val="181717"/>
        <w:sz w:val="24"/>
      </w:rPr>
      <w:t>1</w:t>
    </w:r>
    <w:r>
      <w:rPr>
        <w:color w:val="181717"/>
        <w:sz w:val="24"/>
      </w:rPr>
      <w:fldChar w:fldCharType="end"/>
    </w:r>
    <w:r>
      <w:rPr>
        <w:color w:val="181717"/>
        <w:sz w:val="24"/>
      </w:rPr>
      <w:t xml:space="preserve"> </w:t>
    </w:r>
  </w:p>
  <w:p w14:paraId="3F5BEF27" w14:textId="77777777" w:rsidR="000F4E84" w:rsidRDefault="00B51D06">
    <w:pPr>
      <w:spacing w:after="0"/>
      <w:ind w:left="2"/>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482C8" w14:textId="77777777" w:rsidR="00B51D06" w:rsidRDefault="00B51D06">
      <w:pPr>
        <w:spacing w:after="0" w:line="240" w:lineRule="auto"/>
      </w:pPr>
      <w:r>
        <w:separator/>
      </w:r>
    </w:p>
  </w:footnote>
  <w:footnote w:type="continuationSeparator" w:id="0">
    <w:p w14:paraId="38926575" w14:textId="77777777" w:rsidR="00B51D06" w:rsidRDefault="00B51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852"/>
    <w:multiLevelType w:val="hybridMultilevel"/>
    <w:tmpl w:val="1254A8B4"/>
    <w:lvl w:ilvl="0" w:tplc="76B8F62A">
      <w:start w:val="5"/>
      <w:numFmt w:val="decimal"/>
      <w:lvlText w:val="%1)"/>
      <w:lvlJc w:val="left"/>
      <w:pPr>
        <w:ind w:left="708"/>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lvl w:ilvl="1" w:tplc="46FA330A">
      <w:start w:val="1"/>
      <w:numFmt w:val="lowerLetter"/>
      <w:lvlText w:val="%2"/>
      <w:lvlJc w:val="left"/>
      <w:pPr>
        <w:ind w:left="1441"/>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lvl w:ilvl="2" w:tplc="8534A53A">
      <w:start w:val="1"/>
      <w:numFmt w:val="lowerRoman"/>
      <w:lvlText w:val="%3"/>
      <w:lvlJc w:val="left"/>
      <w:pPr>
        <w:ind w:left="2161"/>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lvl w:ilvl="3" w:tplc="3A96F40E">
      <w:start w:val="1"/>
      <w:numFmt w:val="decimal"/>
      <w:lvlText w:val="%4"/>
      <w:lvlJc w:val="left"/>
      <w:pPr>
        <w:ind w:left="2881"/>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lvl w:ilvl="4" w:tplc="7A5EEE74">
      <w:start w:val="1"/>
      <w:numFmt w:val="lowerLetter"/>
      <w:lvlText w:val="%5"/>
      <w:lvlJc w:val="left"/>
      <w:pPr>
        <w:ind w:left="3601"/>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lvl w:ilvl="5" w:tplc="70F26944">
      <w:start w:val="1"/>
      <w:numFmt w:val="lowerRoman"/>
      <w:lvlText w:val="%6"/>
      <w:lvlJc w:val="left"/>
      <w:pPr>
        <w:ind w:left="4321"/>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lvl w:ilvl="6" w:tplc="DF7AD3B2">
      <w:start w:val="1"/>
      <w:numFmt w:val="decimal"/>
      <w:lvlText w:val="%7"/>
      <w:lvlJc w:val="left"/>
      <w:pPr>
        <w:ind w:left="5041"/>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lvl w:ilvl="7" w:tplc="D4BA7746">
      <w:start w:val="1"/>
      <w:numFmt w:val="lowerLetter"/>
      <w:lvlText w:val="%8"/>
      <w:lvlJc w:val="left"/>
      <w:pPr>
        <w:ind w:left="5761"/>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lvl w:ilvl="8" w:tplc="2E5E4770">
      <w:start w:val="1"/>
      <w:numFmt w:val="lowerRoman"/>
      <w:lvlText w:val="%9"/>
      <w:lvlJc w:val="left"/>
      <w:pPr>
        <w:ind w:left="6481"/>
      </w:pPr>
      <w:rPr>
        <w:rFonts w:ascii="Calibri" w:eastAsia="Calibri" w:hAnsi="Calibri" w:cs="Calibri"/>
        <w:b/>
        <w:bCs/>
        <w:i w:val="0"/>
        <w:strike w:val="0"/>
        <w:dstrike w:val="0"/>
        <w:color w:val="181717"/>
        <w:sz w:val="23"/>
        <w:szCs w:val="23"/>
        <w:u w:val="none" w:color="000000"/>
        <w:bdr w:val="none" w:sz="0" w:space="0" w:color="auto"/>
        <w:shd w:val="clear" w:color="auto" w:fill="auto"/>
        <w:vertAlign w:val="baseline"/>
      </w:rPr>
    </w:lvl>
  </w:abstractNum>
  <w:abstractNum w:abstractNumId="1" w15:restartNumberingAfterBreak="0">
    <w:nsid w:val="07CF3FC8"/>
    <w:multiLevelType w:val="hybridMultilevel"/>
    <w:tmpl w:val="16040690"/>
    <w:lvl w:ilvl="0" w:tplc="11F2ACD2">
      <w:start w:val="1"/>
      <w:numFmt w:val="bullet"/>
      <w:lvlText w:val="•"/>
      <w:lvlJc w:val="left"/>
      <w:pPr>
        <w:ind w:left="706"/>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1" w:tplc="5E869666">
      <w:start w:val="1"/>
      <w:numFmt w:val="bullet"/>
      <w:lvlText w:val="o"/>
      <w:lvlJc w:val="left"/>
      <w:pPr>
        <w:ind w:left="144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473667B2">
      <w:start w:val="1"/>
      <w:numFmt w:val="bullet"/>
      <w:lvlText w:val="▪"/>
      <w:lvlJc w:val="left"/>
      <w:pPr>
        <w:ind w:left="216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743EFDA8">
      <w:start w:val="1"/>
      <w:numFmt w:val="bullet"/>
      <w:lvlText w:val="•"/>
      <w:lvlJc w:val="left"/>
      <w:pPr>
        <w:ind w:left="288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A8CE8362">
      <w:start w:val="1"/>
      <w:numFmt w:val="bullet"/>
      <w:lvlText w:val="o"/>
      <w:lvlJc w:val="left"/>
      <w:pPr>
        <w:ind w:left="360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EA2890B2">
      <w:start w:val="1"/>
      <w:numFmt w:val="bullet"/>
      <w:lvlText w:val="▪"/>
      <w:lvlJc w:val="left"/>
      <w:pPr>
        <w:ind w:left="432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80D047F4">
      <w:start w:val="1"/>
      <w:numFmt w:val="bullet"/>
      <w:lvlText w:val="•"/>
      <w:lvlJc w:val="left"/>
      <w:pPr>
        <w:ind w:left="504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D45EC5CC">
      <w:start w:val="1"/>
      <w:numFmt w:val="bullet"/>
      <w:lvlText w:val="o"/>
      <w:lvlJc w:val="left"/>
      <w:pPr>
        <w:ind w:left="576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DA208162">
      <w:start w:val="1"/>
      <w:numFmt w:val="bullet"/>
      <w:lvlText w:val="▪"/>
      <w:lvlJc w:val="left"/>
      <w:pPr>
        <w:ind w:left="648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abstractNum w:abstractNumId="2" w15:restartNumberingAfterBreak="0">
    <w:nsid w:val="094957B4"/>
    <w:multiLevelType w:val="hybridMultilevel"/>
    <w:tmpl w:val="DEF4DB28"/>
    <w:lvl w:ilvl="0" w:tplc="2E18C628">
      <w:start w:val="1"/>
      <w:numFmt w:val="decimal"/>
      <w:lvlText w:val="%1."/>
      <w:lvlJc w:val="left"/>
      <w:pPr>
        <w:ind w:left="77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FBE4596">
      <w:start w:val="1"/>
      <w:numFmt w:val="lowerLetter"/>
      <w:lvlText w:val="%2"/>
      <w:lvlJc w:val="left"/>
      <w:pPr>
        <w:ind w:left="150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32EEA30">
      <w:start w:val="1"/>
      <w:numFmt w:val="lowerRoman"/>
      <w:lvlText w:val="%3"/>
      <w:lvlJc w:val="left"/>
      <w:pPr>
        <w:ind w:left="222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EBC554E">
      <w:start w:val="1"/>
      <w:numFmt w:val="decimal"/>
      <w:lvlText w:val="%4"/>
      <w:lvlJc w:val="left"/>
      <w:pPr>
        <w:ind w:left="294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FF3A0988">
      <w:start w:val="1"/>
      <w:numFmt w:val="lowerLetter"/>
      <w:lvlText w:val="%5"/>
      <w:lvlJc w:val="left"/>
      <w:pPr>
        <w:ind w:left="366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22B86E60">
      <w:start w:val="1"/>
      <w:numFmt w:val="lowerRoman"/>
      <w:lvlText w:val="%6"/>
      <w:lvlJc w:val="left"/>
      <w:pPr>
        <w:ind w:left="438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FA1221BC">
      <w:start w:val="1"/>
      <w:numFmt w:val="decimal"/>
      <w:lvlText w:val="%7"/>
      <w:lvlJc w:val="left"/>
      <w:pPr>
        <w:ind w:left="510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3C62AAA">
      <w:start w:val="1"/>
      <w:numFmt w:val="lowerLetter"/>
      <w:lvlText w:val="%8"/>
      <w:lvlJc w:val="left"/>
      <w:pPr>
        <w:ind w:left="582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5E6449E">
      <w:start w:val="1"/>
      <w:numFmt w:val="lowerRoman"/>
      <w:lvlText w:val="%9"/>
      <w:lvlJc w:val="left"/>
      <w:pPr>
        <w:ind w:left="654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1DFA2886"/>
    <w:multiLevelType w:val="hybridMultilevel"/>
    <w:tmpl w:val="BB924CE0"/>
    <w:lvl w:ilvl="0" w:tplc="0809000F">
      <w:start w:val="1"/>
      <w:numFmt w:val="decimal"/>
      <w:lvlText w:val="%1."/>
      <w:lvlJc w:val="left"/>
      <w:pPr>
        <w:ind w:left="10"/>
      </w:pPr>
      <w:rPr>
        <w:b w:val="0"/>
        <w:i w:val="0"/>
        <w:strike w:val="0"/>
        <w:dstrike w:val="0"/>
        <w:color w:val="181717"/>
        <w:sz w:val="23"/>
        <w:szCs w:val="23"/>
        <w:u w:val="none" w:color="000000"/>
        <w:bdr w:val="none" w:sz="0" w:space="0" w:color="auto"/>
        <w:shd w:val="clear" w:color="auto" w:fill="auto"/>
        <w:vertAlign w:val="baseline"/>
      </w:rPr>
    </w:lvl>
    <w:lvl w:ilvl="1" w:tplc="129680D8">
      <w:start w:val="1"/>
      <w:numFmt w:val="lowerLetter"/>
      <w:lvlText w:val="%2"/>
      <w:lvlJc w:val="left"/>
      <w:pPr>
        <w:ind w:left="10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511E5018">
      <w:start w:val="1"/>
      <w:numFmt w:val="lowerRoman"/>
      <w:lvlText w:val="%3"/>
      <w:lvlJc w:val="left"/>
      <w:pPr>
        <w:ind w:left="180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3DBCA6A8">
      <w:start w:val="1"/>
      <w:numFmt w:val="decimal"/>
      <w:lvlText w:val="%4"/>
      <w:lvlJc w:val="left"/>
      <w:pPr>
        <w:ind w:left="252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EB3E43F6">
      <w:start w:val="1"/>
      <w:numFmt w:val="lowerLetter"/>
      <w:lvlText w:val="%5"/>
      <w:lvlJc w:val="left"/>
      <w:pPr>
        <w:ind w:left="324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B94AFF30">
      <w:start w:val="1"/>
      <w:numFmt w:val="lowerRoman"/>
      <w:lvlText w:val="%6"/>
      <w:lvlJc w:val="left"/>
      <w:pPr>
        <w:ind w:left="396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7C0A18B4">
      <w:start w:val="1"/>
      <w:numFmt w:val="decimal"/>
      <w:lvlText w:val="%7"/>
      <w:lvlJc w:val="left"/>
      <w:pPr>
        <w:ind w:left="46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05EEE34A">
      <w:start w:val="1"/>
      <w:numFmt w:val="lowerLetter"/>
      <w:lvlText w:val="%8"/>
      <w:lvlJc w:val="left"/>
      <w:pPr>
        <w:ind w:left="540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1B8C4786">
      <w:start w:val="1"/>
      <w:numFmt w:val="lowerRoman"/>
      <w:lvlText w:val="%9"/>
      <w:lvlJc w:val="left"/>
      <w:pPr>
        <w:ind w:left="612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abstractNum w:abstractNumId="4" w15:restartNumberingAfterBreak="0">
    <w:nsid w:val="31BB1DDD"/>
    <w:multiLevelType w:val="hybridMultilevel"/>
    <w:tmpl w:val="D25243FA"/>
    <w:lvl w:ilvl="0" w:tplc="5650A18A">
      <w:start w:val="1"/>
      <w:numFmt w:val="lowerLetter"/>
      <w:lvlText w:val="%1)"/>
      <w:lvlJc w:val="left"/>
      <w:pPr>
        <w:ind w:left="269"/>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1" w:tplc="9ED4DCF2">
      <w:start w:val="1"/>
      <w:numFmt w:val="lowerLetter"/>
      <w:lvlText w:val="%2"/>
      <w:lvlJc w:val="left"/>
      <w:pPr>
        <w:ind w:left="108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D5A4A394">
      <w:start w:val="1"/>
      <w:numFmt w:val="lowerRoman"/>
      <w:lvlText w:val="%3"/>
      <w:lvlJc w:val="left"/>
      <w:pPr>
        <w:ind w:left="180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E766BF9C">
      <w:start w:val="1"/>
      <w:numFmt w:val="decimal"/>
      <w:lvlText w:val="%4"/>
      <w:lvlJc w:val="left"/>
      <w:pPr>
        <w:ind w:left="252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609A4F84">
      <w:start w:val="1"/>
      <w:numFmt w:val="lowerLetter"/>
      <w:lvlText w:val="%5"/>
      <w:lvlJc w:val="left"/>
      <w:pPr>
        <w:ind w:left="324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0E9E0D6A">
      <w:start w:val="1"/>
      <w:numFmt w:val="lowerRoman"/>
      <w:lvlText w:val="%6"/>
      <w:lvlJc w:val="left"/>
      <w:pPr>
        <w:ind w:left="396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EFE6067A">
      <w:start w:val="1"/>
      <w:numFmt w:val="decimal"/>
      <w:lvlText w:val="%7"/>
      <w:lvlJc w:val="left"/>
      <w:pPr>
        <w:ind w:left="468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CC882228">
      <w:start w:val="1"/>
      <w:numFmt w:val="lowerLetter"/>
      <w:lvlText w:val="%8"/>
      <w:lvlJc w:val="left"/>
      <w:pPr>
        <w:ind w:left="540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A456259E">
      <w:start w:val="1"/>
      <w:numFmt w:val="lowerRoman"/>
      <w:lvlText w:val="%9"/>
      <w:lvlJc w:val="left"/>
      <w:pPr>
        <w:ind w:left="612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abstractNum w:abstractNumId="5" w15:restartNumberingAfterBreak="0">
    <w:nsid w:val="3772566E"/>
    <w:multiLevelType w:val="hybridMultilevel"/>
    <w:tmpl w:val="28F4948C"/>
    <w:lvl w:ilvl="0" w:tplc="586EE238">
      <w:start w:val="1"/>
      <w:numFmt w:val="decimal"/>
      <w:lvlText w:val="%1."/>
      <w:lvlJc w:val="left"/>
      <w:pPr>
        <w:ind w:left="1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1" w:tplc="129680D8">
      <w:start w:val="1"/>
      <w:numFmt w:val="lowerLetter"/>
      <w:lvlText w:val="%2"/>
      <w:lvlJc w:val="left"/>
      <w:pPr>
        <w:ind w:left="10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511E5018">
      <w:start w:val="1"/>
      <w:numFmt w:val="lowerRoman"/>
      <w:lvlText w:val="%3"/>
      <w:lvlJc w:val="left"/>
      <w:pPr>
        <w:ind w:left="180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3DBCA6A8">
      <w:start w:val="1"/>
      <w:numFmt w:val="decimal"/>
      <w:lvlText w:val="%4"/>
      <w:lvlJc w:val="left"/>
      <w:pPr>
        <w:ind w:left="252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EB3E43F6">
      <w:start w:val="1"/>
      <w:numFmt w:val="lowerLetter"/>
      <w:lvlText w:val="%5"/>
      <w:lvlJc w:val="left"/>
      <w:pPr>
        <w:ind w:left="324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B94AFF30">
      <w:start w:val="1"/>
      <w:numFmt w:val="lowerRoman"/>
      <w:lvlText w:val="%6"/>
      <w:lvlJc w:val="left"/>
      <w:pPr>
        <w:ind w:left="396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7C0A18B4">
      <w:start w:val="1"/>
      <w:numFmt w:val="decimal"/>
      <w:lvlText w:val="%7"/>
      <w:lvlJc w:val="left"/>
      <w:pPr>
        <w:ind w:left="46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05EEE34A">
      <w:start w:val="1"/>
      <w:numFmt w:val="lowerLetter"/>
      <w:lvlText w:val="%8"/>
      <w:lvlJc w:val="left"/>
      <w:pPr>
        <w:ind w:left="540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1B8C4786">
      <w:start w:val="1"/>
      <w:numFmt w:val="lowerRoman"/>
      <w:lvlText w:val="%9"/>
      <w:lvlJc w:val="left"/>
      <w:pPr>
        <w:ind w:left="612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abstractNum w:abstractNumId="6" w15:restartNumberingAfterBreak="0">
    <w:nsid w:val="3C2C1661"/>
    <w:multiLevelType w:val="hybridMultilevel"/>
    <w:tmpl w:val="8390A64C"/>
    <w:lvl w:ilvl="0" w:tplc="31AABDF2">
      <w:start w:val="4"/>
      <w:numFmt w:val="lowerLetter"/>
      <w:lvlText w:val="%1)"/>
      <w:lvlJc w:val="left"/>
      <w:pPr>
        <w:ind w:left="204"/>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1" w:tplc="963C2546">
      <w:start w:val="1"/>
      <w:numFmt w:val="lowerLetter"/>
      <w:lvlText w:val="%2"/>
      <w:lvlJc w:val="left"/>
      <w:pPr>
        <w:ind w:left="108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4440C66C">
      <w:start w:val="1"/>
      <w:numFmt w:val="lowerRoman"/>
      <w:lvlText w:val="%3"/>
      <w:lvlJc w:val="left"/>
      <w:pPr>
        <w:ind w:left="180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D160F944">
      <w:start w:val="1"/>
      <w:numFmt w:val="decimal"/>
      <w:lvlText w:val="%4"/>
      <w:lvlJc w:val="left"/>
      <w:pPr>
        <w:ind w:left="252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481E0FE4">
      <w:start w:val="1"/>
      <w:numFmt w:val="lowerLetter"/>
      <w:lvlText w:val="%5"/>
      <w:lvlJc w:val="left"/>
      <w:pPr>
        <w:ind w:left="324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188E571A">
      <w:start w:val="1"/>
      <w:numFmt w:val="lowerRoman"/>
      <w:lvlText w:val="%6"/>
      <w:lvlJc w:val="left"/>
      <w:pPr>
        <w:ind w:left="396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F73C5498">
      <w:start w:val="1"/>
      <w:numFmt w:val="decimal"/>
      <w:lvlText w:val="%7"/>
      <w:lvlJc w:val="left"/>
      <w:pPr>
        <w:ind w:left="468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CAE0AA28">
      <w:start w:val="1"/>
      <w:numFmt w:val="lowerLetter"/>
      <w:lvlText w:val="%8"/>
      <w:lvlJc w:val="left"/>
      <w:pPr>
        <w:ind w:left="540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4136461C">
      <w:start w:val="1"/>
      <w:numFmt w:val="lowerRoman"/>
      <w:lvlText w:val="%9"/>
      <w:lvlJc w:val="left"/>
      <w:pPr>
        <w:ind w:left="6121"/>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abstractNum w:abstractNumId="7" w15:restartNumberingAfterBreak="0">
    <w:nsid w:val="5AF829D7"/>
    <w:multiLevelType w:val="hybridMultilevel"/>
    <w:tmpl w:val="CB2CEB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978D5"/>
    <w:multiLevelType w:val="hybridMultilevel"/>
    <w:tmpl w:val="AD029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A5597D"/>
    <w:multiLevelType w:val="hybridMultilevel"/>
    <w:tmpl w:val="B5F4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275158"/>
    <w:multiLevelType w:val="hybridMultilevel"/>
    <w:tmpl w:val="E622368A"/>
    <w:lvl w:ilvl="0" w:tplc="CA6C46E0">
      <w:start w:val="1"/>
      <w:numFmt w:val="bullet"/>
      <w:lvlText w:val="•"/>
      <w:lvlJc w:val="left"/>
      <w:pPr>
        <w:ind w:left="722"/>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1" w:tplc="5F72EEBE">
      <w:start w:val="1"/>
      <w:numFmt w:val="bullet"/>
      <w:lvlText w:val="o"/>
      <w:lvlJc w:val="left"/>
      <w:pPr>
        <w:ind w:left="144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9F2C050C">
      <w:start w:val="1"/>
      <w:numFmt w:val="bullet"/>
      <w:lvlText w:val="▪"/>
      <w:lvlJc w:val="left"/>
      <w:pPr>
        <w:ind w:left="216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209C7E06">
      <w:start w:val="1"/>
      <w:numFmt w:val="bullet"/>
      <w:lvlText w:val="•"/>
      <w:lvlJc w:val="left"/>
      <w:pPr>
        <w:ind w:left="28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50148AD4">
      <w:start w:val="1"/>
      <w:numFmt w:val="bullet"/>
      <w:lvlText w:val="o"/>
      <w:lvlJc w:val="left"/>
      <w:pPr>
        <w:ind w:left="360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6316B97E">
      <w:start w:val="1"/>
      <w:numFmt w:val="bullet"/>
      <w:lvlText w:val="▪"/>
      <w:lvlJc w:val="left"/>
      <w:pPr>
        <w:ind w:left="432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91EC91C8">
      <w:start w:val="1"/>
      <w:numFmt w:val="bullet"/>
      <w:lvlText w:val="•"/>
      <w:lvlJc w:val="left"/>
      <w:pPr>
        <w:ind w:left="504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2446198C">
      <w:start w:val="1"/>
      <w:numFmt w:val="bullet"/>
      <w:lvlText w:val="o"/>
      <w:lvlJc w:val="left"/>
      <w:pPr>
        <w:ind w:left="576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5F3A8A70">
      <w:start w:val="1"/>
      <w:numFmt w:val="bullet"/>
      <w:lvlText w:val="▪"/>
      <w:lvlJc w:val="left"/>
      <w:pPr>
        <w:ind w:left="64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abstractNum w:abstractNumId="11" w15:restartNumberingAfterBreak="0">
    <w:nsid w:val="7C9D54C3"/>
    <w:multiLevelType w:val="hybridMultilevel"/>
    <w:tmpl w:val="EAD23CD4"/>
    <w:lvl w:ilvl="0" w:tplc="F5AEA64C">
      <w:start w:val="1"/>
      <w:numFmt w:val="bullet"/>
      <w:lvlText w:val="•"/>
      <w:lvlJc w:val="left"/>
      <w:pPr>
        <w:ind w:left="722"/>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1" w:tplc="63563D7E">
      <w:start w:val="1"/>
      <w:numFmt w:val="bullet"/>
      <w:lvlText w:val="o"/>
      <w:lvlJc w:val="left"/>
      <w:pPr>
        <w:ind w:left="144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898C2228">
      <w:start w:val="1"/>
      <w:numFmt w:val="bullet"/>
      <w:lvlText w:val="▪"/>
      <w:lvlJc w:val="left"/>
      <w:pPr>
        <w:ind w:left="216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C1463B68">
      <w:start w:val="1"/>
      <w:numFmt w:val="bullet"/>
      <w:lvlText w:val="•"/>
      <w:lvlJc w:val="left"/>
      <w:pPr>
        <w:ind w:left="28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526ECFD8">
      <w:start w:val="1"/>
      <w:numFmt w:val="bullet"/>
      <w:lvlText w:val="o"/>
      <w:lvlJc w:val="left"/>
      <w:pPr>
        <w:ind w:left="360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2D76940A">
      <w:start w:val="1"/>
      <w:numFmt w:val="bullet"/>
      <w:lvlText w:val="▪"/>
      <w:lvlJc w:val="left"/>
      <w:pPr>
        <w:ind w:left="432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B2F03052">
      <w:start w:val="1"/>
      <w:numFmt w:val="bullet"/>
      <w:lvlText w:val="•"/>
      <w:lvlJc w:val="left"/>
      <w:pPr>
        <w:ind w:left="504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45FC5FAE">
      <w:start w:val="1"/>
      <w:numFmt w:val="bullet"/>
      <w:lvlText w:val="o"/>
      <w:lvlJc w:val="left"/>
      <w:pPr>
        <w:ind w:left="576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2ACC2750">
      <w:start w:val="1"/>
      <w:numFmt w:val="bullet"/>
      <w:lvlText w:val="▪"/>
      <w:lvlJc w:val="left"/>
      <w:pPr>
        <w:ind w:left="64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10"/>
  </w:num>
  <w:num w:numId="5">
    <w:abstractNumId w:val="5"/>
  </w:num>
  <w:num w:numId="6">
    <w:abstractNumId w:val="4"/>
  </w:num>
  <w:num w:numId="7">
    <w:abstractNumId w:val="6"/>
  </w:num>
  <w:num w:numId="8">
    <w:abstractNumId w:val="11"/>
  </w:num>
  <w:num w:numId="9">
    <w:abstractNumId w:val="9"/>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84"/>
    <w:rsid w:val="00026032"/>
    <w:rsid w:val="0007596F"/>
    <w:rsid w:val="000F4E84"/>
    <w:rsid w:val="001023A4"/>
    <w:rsid w:val="008C2799"/>
    <w:rsid w:val="00B5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56E9"/>
  <w15:docId w15:val="{ED5119A3-0223-4FB8-889E-FBA1646E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2" w:hanging="10"/>
      <w:outlineLvl w:val="0"/>
    </w:pPr>
    <w:rPr>
      <w:rFonts w:ascii="Calibri" w:eastAsia="Calibri" w:hAnsi="Calibri" w:cs="Calibri"/>
      <w:b/>
      <w:color w:val="181717"/>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3"/>
    </w:rPr>
  </w:style>
  <w:style w:type="paragraph" w:styleId="ListParagraph">
    <w:name w:val="List Paragraph"/>
    <w:basedOn w:val="Normal"/>
    <w:uiPriority w:val="34"/>
    <w:qFormat/>
    <w:rsid w:val="0010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3FA94-DAFD-4350-B1D5-A0F575D50AEE}"/>
</file>

<file path=customXml/itemProps2.xml><?xml version="1.0" encoding="utf-8"?>
<ds:datastoreItem xmlns:ds="http://schemas.openxmlformats.org/officeDocument/2006/customXml" ds:itemID="{36630AA7-3EB9-499E-8D6E-24620F55C7F8}"/>
</file>

<file path=customXml/itemProps3.xml><?xml version="1.0" encoding="utf-8"?>
<ds:datastoreItem xmlns:ds="http://schemas.openxmlformats.org/officeDocument/2006/customXml" ds:itemID="{0BAB6647-6D0A-44E3-81FB-BFA273AFAE12}"/>
</file>

<file path=docProps/app.xml><?xml version="1.0" encoding="utf-8"?>
<Properties xmlns="http://schemas.openxmlformats.org/officeDocument/2006/extended-properties" xmlns:vt="http://schemas.openxmlformats.org/officeDocument/2006/docPropsVTypes">
  <Template>Normal</Template>
  <TotalTime>2</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ACE Exclusion from school - 4.10 Managed Moves – good practice guidance</vt:lpstr>
    </vt:vector>
  </TitlesOfParts>
  <Company>LBHF</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Exclusion from school - 4.10 Managed Moves – good practice guidance</dc:title>
  <dc:subject/>
  <dc:creator>Spearman Elizabeth: H&amp;F</dc:creator>
  <cp:keywords/>
  <cp:lastModifiedBy>Parsons Kyria: H&amp;F</cp:lastModifiedBy>
  <cp:revision>2</cp:revision>
  <dcterms:created xsi:type="dcterms:W3CDTF">2021-07-28T14:00:00Z</dcterms:created>
  <dcterms:modified xsi:type="dcterms:W3CDTF">2021-07-28T14:00:00Z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